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1CCD1" w14:textId="77777777" w:rsidR="00961136" w:rsidRPr="00961136" w:rsidRDefault="00961136" w:rsidP="00961136">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961136">
        <w:rPr>
          <w:rFonts w:ascii="Tahoma" w:eastAsia="Times New Roman" w:hAnsi="Tahoma" w:cs="Tahoma"/>
          <w:color w:val="DC3B33"/>
          <w:kern w:val="36"/>
          <w:sz w:val="45"/>
          <w:szCs w:val="45"/>
          <w:lang w:eastAsia="it-IT"/>
          <w14:ligatures w14:val="none"/>
        </w:rPr>
        <w:t>Ancora non riscossi i compensi per le attività aggiuntive di docenti e ATA dell’anno scolastico 2022/2023</w:t>
      </w:r>
    </w:p>
    <w:p w14:paraId="240B369C" w14:textId="77777777" w:rsidR="00961136" w:rsidRPr="00961136" w:rsidRDefault="00961136" w:rsidP="00961136">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961136">
        <w:rPr>
          <w:rFonts w:ascii="Arial" w:eastAsia="Times New Roman" w:hAnsi="Arial" w:cs="Arial"/>
          <w:color w:val="535353"/>
          <w:kern w:val="0"/>
          <w:sz w:val="27"/>
          <w:szCs w:val="27"/>
          <w:lang w:eastAsia="it-IT"/>
          <w14:ligatures w14:val="none"/>
        </w:rPr>
        <w:t xml:space="preserve">A settembre nessuna emissione speciale per pagare il salario accessorio. Sprecato l’impegno delle segreterie che hanno lavorato in tempi strettissimi per rispettare le scadenze comunicate da </w:t>
      </w:r>
      <w:proofErr w:type="spellStart"/>
      <w:r w:rsidRPr="00961136">
        <w:rPr>
          <w:rFonts w:ascii="Arial" w:eastAsia="Times New Roman" w:hAnsi="Arial" w:cs="Arial"/>
          <w:color w:val="535353"/>
          <w:kern w:val="0"/>
          <w:sz w:val="27"/>
          <w:szCs w:val="27"/>
          <w:lang w:eastAsia="it-IT"/>
          <w14:ligatures w14:val="none"/>
        </w:rPr>
        <w:t>Noipa</w:t>
      </w:r>
      <w:proofErr w:type="spellEnd"/>
    </w:p>
    <w:p w14:paraId="5D3AB97D" w14:textId="77777777" w:rsidR="00961136" w:rsidRPr="00961136" w:rsidRDefault="00961136" w:rsidP="00961136">
      <w:pPr>
        <w:shd w:val="clear" w:color="auto" w:fill="FFFFFF"/>
        <w:spacing w:after="0" w:line="240" w:lineRule="auto"/>
        <w:rPr>
          <w:rFonts w:ascii="Arial" w:eastAsia="Times New Roman" w:hAnsi="Arial" w:cs="Arial"/>
          <w:color w:val="4D4D4D"/>
          <w:kern w:val="0"/>
          <w:sz w:val="21"/>
          <w:szCs w:val="21"/>
          <w:lang w:eastAsia="it-IT"/>
          <w14:ligatures w14:val="none"/>
        </w:rPr>
      </w:pPr>
      <w:r w:rsidRPr="00961136">
        <w:rPr>
          <w:rFonts w:ascii="Arial" w:eastAsia="Times New Roman" w:hAnsi="Arial" w:cs="Arial"/>
          <w:b/>
          <w:bCs/>
          <w:color w:val="4D4D4D"/>
          <w:kern w:val="0"/>
          <w:sz w:val="21"/>
          <w:szCs w:val="21"/>
          <w:lang w:eastAsia="it-IT"/>
          <w14:ligatures w14:val="none"/>
        </w:rPr>
        <w:t>29/09/2023</w:t>
      </w:r>
    </w:p>
    <w:p w14:paraId="0CE5E6E6" w14:textId="77777777" w:rsid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3A806704" w14:textId="6A605691"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Ad oggi, contrariamente agli annunci fatti dal Ministro Valditara nel mese di agosto, non risultano ancora in pagamento i compensi per indennità di direzione, di lavoro notturno/festivo e tutte le attività aggiuntive svolte dal personale della scuola l’anno scorso. Ciò nonostante NOIPA avesse annunciato un’emissione speciale a settembre per il pagamento delle competenze accessorie.</w:t>
      </w:r>
    </w:p>
    <w:p w14:paraId="6AFCDD17"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Le risorse del Fondo per il Miglioramento dell’Offerta Formativa (FMOF) per retribuire le attività aggiuntive svolte dal personale della scuola nell’anno scolastico 2022/2023 sono state trasferite sui POS delle scuole solo a fine agosto 2023.</w:t>
      </w:r>
    </w:p>
    <w:p w14:paraId="01BAB6FE"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roofErr w:type="spellStart"/>
      <w:r w:rsidRPr="00961136">
        <w:rPr>
          <w:rFonts w:ascii="Arial" w:eastAsia="Times New Roman" w:hAnsi="Arial" w:cs="Arial"/>
          <w:color w:val="000000"/>
          <w:kern w:val="0"/>
          <w:sz w:val="21"/>
          <w:szCs w:val="21"/>
          <w:lang w:eastAsia="it-IT"/>
          <w14:ligatures w14:val="none"/>
        </w:rPr>
        <w:t>Dopodichè</w:t>
      </w:r>
      <w:proofErr w:type="spellEnd"/>
      <w:r w:rsidRPr="00961136">
        <w:rPr>
          <w:rFonts w:ascii="Arial" w:eastAsia="Times New Roman" w:hAnsi="Arial" w:cs="Arial"/>
          <w:color w:val="000000"/>
          <w:kern w:val="0"/>
          <w:sz w:val="21"/>
          <w:szCs w:val="21"/>
          <w:lang w:eastAsia="it-IT"/>
          <w14:ligatures w14:val="none"/>
        </w:rPr>
        <w:t> </w:t>
      </w:r>
      <w:r w:rsidRPr="00961136">
        <w:rPr>
          <w:rFonts w:ascii="Arial" w:eastAsia="Times New Roman" w:hAnsi="Arial" w:cs="Arial"/>
          <w:b/>
          <w:bCs/>
          <w:color w:val="000000"/>
          <w:kern w:val="0"/>
          <w:sz w:val="21"/>
          <w:szCs w:val="21"/>
          <w:lang w:eastAsia="it-IT"/>
          <w14:ligatures w14:val="none"/>
        </w:rPr>
        <w:t>alle scuole è stato assegnato un tempo strettissimo</w:t>
      </w:r>
      <w:r w:rsidRPr="00961136">
        <w:rPr>
          <w:rFonts w:ascii="Arial" w:eastAsia="Times New Roman" w:hAnsi="Arial" w:cs="Arial"/>
          <w:color w:val="000000"/>
          <w:kern w:val="0"/>
          <w:sz w:val="21"/>
          <w:szCs w:val="21"/>
          <w:lang w:eastAsia="it-IT"/>
          <w14:ligatures w14:val="none"/>
        </w:rPr>
        <w:t> da parte di NOIPA </w:t>
      </w:r>
      <w:r w:rsidRPr="00961136">
        <w:rPr>
          <w:rFonts w:ascii="Arial" w:eastAsia="Times New Roman" w:hAnsi="Arial" w:cs="Arial"/>
          <w:b/>
          <w:bCs/>
          <w:color w:val="000000"/>
          <w:kern w:val="0"/>
          <w:sz w:val="21"/>
          <w:szCs w:val="21"/>
          <w:lang w:eastAsia="it-IT"/>
          <w14:ligatures w14:val="none"/>
        </w:rPr>
        <w:t>per autorizzare i pagamenti</w:t>
      </w:r>
      <w:r w:rsidRPr="00961136">
        <w:rPr>
          <w:rFonts w:ascii="Arial" w:eastAsia="Times New Roman" w:hAnsi="Arial" w:cs="Arial"/>
          <w:color w:val="000000"/>
          <w:kern w:val="0"/>
          <w:sz w:val="21"/>
          <w:szCs w:val="21"/>
          <w:lang w:eastAsia="it-IT"/>
          <w14:ligatures w14:val="none"/>
        </w:rPr>
        <w:t xml:space="preserve"> spettanti a ciascun lavoratore entro metà </w:t>
      </w:r>
      <w:proofErr w:type="gramStart"/>
      <w:r w:rsidRPr="00961136">
        <w:rPr>
          <w:rFonts w:ascii="Arial" w:eastAsia="Times New Roman" w:hAnsi="Arial" w:cs="Arial"/>
          <w:color w:val="000000"/>
          <w:kern w:val="0"/>
          <w:sz w:val="21"/>
          <w:szCs w:val="21"/>
          <w:lang w:eastAsia="it-IT"/>
          <w14:ligatures w14:val="none"/>
        </w:rPr>
        <w:t>settembre,  ma</w:t>
      </w:r>
      <w:proofErr w:type="gramEnd"/>
      <w:r w:rsidRPr="00961136">
        <w:rPr>
          <w:rFonts w:ascii="Arial" w:eastAsia="Times New Roman" w:hAnsi="Arial" w:cs="Arial"/>
          <w:color w:val="000000"/>
          <w:kern w:val="0"/>
          <w:sz w:val="21"/>
          <w:szCs w:val="21"/>
          <w:lang w:eastAsia="it-IT"/>
          <w14:ligatures w14:val="none"/>
        </w:rPr>
        <w:t xml:space="preserve"> nonostante l’impegno straordinario delle segreterie per recuperare il ritardo cumulato dai centri ministeriali, ad oggi nessun compenso risulta liquidato.</w:t>
      </w:r>
    </w:p>
    <w:p w14:paraId="730AD6A8"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È un</w:t>
      </w:r>
      <w:r w:rsidRPr="00961136">
        <w:rPr>
          <w:rFonts w:ascii="Arial" w:eastAsia="Times New Roman" w:hAnsi="Arial" w:cs="Arial"/>
          <w:b/>
          <w:bCs/>
          <w:color w:val="000000"/>
          <w:kern w:val="0"/>
          <w:sz w:val="21"/>
          <w:szCs w:val="21"/>
          <w:lang w:eastAsia="it-IT"/>
          <w14:ligatures w14:val="none"/>
        </w:rPr>
        <w:t> fatto gravissimo </w:t>
      </w:r>
      <w:r w:rsidRPr="00961136">
        <w:rPr>
          <w:rFonts w:ascii="Arial" w:eastAsia="Times New Roman" w:hAnsi="Arial" w:cs="Arial"/>
          <w:color w:val="000000"/>
          <w:kern w:val="0"/>
          <w:sz w:val="21"/>
          <w:szCs w:val="21"/>
          <w:lang w:eastAsia="it-IT"/>
          <w14:ligatures w14:val="none"/>
        </w:rPr>
        <w:t xml:space="preserve">che, dopo il ritardo cumulato dal MEF, e il lavoro eccezionale - che si aggiunge a quello già ingente per l’avvio del nuovo anno scolastico - a cui sono stati chiamati </w:t>
      </w:r>
      <w:proofErr w:type="spellStart"/>
      <w:r w:rsidRPr="00961136">
        <w:rPr>
          <w:rFonts w:ascii="Arial" w:eastAsia="Times New Roman" w:hAnsi="Arial" w:cs="Arial"/>
          <w:color w:val="000000"/>
          <w:kern w:val="0"/>
          <w:sz w:val="21"/>
          <w:szCs w:val="21"/>
          <w:lang w:eastAsia="it-IT"/>
          <w14:ligatures w14:val="none"/>
        </w:rPr>
        <w:t>Dsga</w:t>
      </w:r>
      <w:proofErr w:type="spellEnd"/>
      <w:r w:rsidRPr="00961136">
        <w:rPr>
          <w:rFonts w:ascii="Arial" w:eastAsia="Times New Roman" w:hAnsi="Arial" w:cs="Arial"/>
          <w:color w:val="000000"/>
          <w:kern w:val="0"/>
          <w:sz w:val="21"/>
          <w:szCs w:val="21"/>
          <w:lang w:eastAsia="it-IT"/>
          <w14:ligatures w14:val="none"/>
        </w:rPr>
        <w:t xml:space="preserve"> e personale amministrativo delle scuole per assicurare i pagamenti pregressi, ancora ad oggi i lavoratori non abbiano ricevuto i compensi spettanti per i ritardi e responsabilità di NOIPA.</w:t>
      </w:r>
    </w:p>
    <w:p w14:paraId="01D9E792"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Tutto ciò è </w:t>
      </w:r>
      <w:r w:rsidRPr="00961136">
        <w:rPr>
          <w:rFonts w:ascii="Arial" w:eastAsia="Times New Roman" w:hAnsi="Arial" w:cs="Arial"/>
          <w:b/>
          <w:bCs/>
          <w:color w:val="000000"/>
          <w:kern w:val="0"/>
          <w:sz w:val="21"/>
          <w:szCs w:val="21"/>
          <w:lang w:eastAsia="it-IT"/>
          <w14:ligatures w14:val="none"/>
        </w:rPr>
        <w:t>sintomo dell’assenza di considerazione e rispetto per il lavoro </w:t>
      </w:r>
      <w:r w:rsidRPr="00961136">
        <w:rPr>
          <w:rFonts w:ascii="Arial" w:eastAsia="Times New Roman" w:hAnsi="Arial" w:cs="Arial"/>
          <w:color w:val="000000"/>
          <w:kern w:val="0"/>
          <w:sz w:val="21"/>
          <w:szCs w:val="21"/>
          <w:lang w:eastAsia="it-IT"/>
          <w14:ligatures w14:val="none"/>
        </w:rPr>
        <w:t>che, quotidianamente ed in condizioni sempre emergenziali, viene svolto nelle scuole del nostro Paese.</w:t>
      </w:r>
    </w:p>
    <w:p w14:paraId="6D3C3387" w14:textId="77777777" w:rsidR="00961136" w:rsidRPr="00961136" w:rsidRDefault="00961136" w:rsidP="00961136">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961136">
        <w:rPr>
          <w:rFonts w:ascii="Tahoma" w:eastAsia="Times New Roman" w:hAnsi="Tahoma" w:cs="Tahoma"/>
          <w:color w:val="DC3B33"/>
          <w:kern w:val="36"/>
          <w:sz w:val="45"/>
          <w:szCs w:val="45"/>
          <w:lang w:eastAsia="it-IT"/>
          <w14:ligatures w14:val="none"/>
        </w:rPr>
        <w:t>PNRR: a breve l’emanazione delle istruzioni operative sugli investimenti per i percorsi STEM e per la formazione al digitale e linguistica</w:t>
      </w:r>
    </w:p>
    <w:p w14:paraId="3991A21A" w14:textId="77777777" w:rsidR="00961136" w:rsidRPr="00961136" w:rsidRDefault="00961136" w:rsidP="00961136">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961136">
        <w:rPr>
          <w:rFonts w:ascii="Arial" w:eastAsia="Times New Roman" w:hAnsi="Arial" w:cs="Arial"/>
          <w:color w:val="535353"/>
          <w:kern w:val="0"/>
          <w:sz w:val="27"/>
          <w:szCs w:val="27"/>
          <w:lang w:eastAsia="it-IT"/>
          <w14:ligatures w14:val="none"/>
        </w:rPr>
        <w:t>Informativa senza documenti presso l’unità di missione del Ministero dell’Istruzione. Il mancato coordinamento degli interventi scarica sulle scuole responsabilità insostenibili.</w:t>
      </w:r>
    </w:p>
    <w:p w14:paraId="23049431" w14:textId="77777777" w:rsidR="00961136" w:rsidRPr="00961136" w:rsidRDefault="00961136" w:rsidP="00961136">
      <w:pPr>
        <w:shd w:val="clear" w:color="auto" w:fill="FFFFFF"/>
        <w:spacing w:after="0" w:line="240" w:lineRule="auto"/>
        <w:rPr>
          <w:rFonts w:ascii="Arial" w:eastAsia="Times New Roman" w:hAnsi="Arial" w:cs="Arial"/>
          <w:color w:val="4D4D4D"/>
          <w:kern w:val="0"/>
          <w:sz w:val="21"/>
          <w:szCs w:val="21"/>
          <w:lang w:eastAsia="it-IT"/>
          <w14:ligatures w14:val="none"/>
        </w:rPr>
      </w:pPr>
      <w:r w:rsidRPr="00961136">
        <w:rPr>
          <w:rFonts w:ascii="Arial" w:eastAsia="Times New Roman" w:hAnsi="Arial" w:cs="Arial"/>
          <w:b/>
          <w:bCs/>
          <w:color w:val="4D4D4D"/>
          <w:kern w:val="0"/>
          <w:sz w:val="21"/>
          <w:szCs w:val="21"/>
          <w:lang w:eastAsia="it-IT"/>
          <w14:ligatures w14:val="none"/>
        </w:rPr>
        <w:t>03/10/2023</w:t>
      </w:r>
    </w:p>
    <w:p w14:paraId="39803D7B" w14:textId="77777777" w:rsid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2D117036" w14:textId="50C53B49"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Si è svolta presso il Ministero dell’Istruzione l’</w:t>
      </w:r>
      <w:r w:rsidRPr="00961136">
        <w:rPr>
          <w:rFonts w:ascii="Arial" w:eastAsia="Times New Roman" w:hAnsi="Arial" w:cs="Arial"/>
          <w:b/>
          <w:bCs/>
          <w:color w:val="000000"/>
          <w:kern w:val="0"/>
          <w:sz w:val="21"/>
          <w:szCs w:val="21"/>
          <w:lang w:eastAsia="it-IT"/>
          <w14:ligatures w14:val="none"/>
        </w:rPr>
        <w:t>informativa</w:t>
      </w:r>
      <w:r w:rsidRPr="00961136">
        <w:rPr>
          <w:rFonts w:ascii="Arial" w:eastAsia="Times New Roman" w:hAnsi="Arial" w:cs="Arial"/>
          <w:color w:val="000000"/>
          <w:kern w:val="0"/>
          <w:sz w:val="21"/>
          <w:szCs w:val="21"/>
          <w:lang w:eastAsia="it-IT"/>
          <w14:ligatures w14:val="none"/>
        </w:rPr>
        <w:t> dell’Unità di Missione (</w:t>
      </w:r>
      <w:proofErr w:type="spellStart"/>
      <w:r w:rsidRPr="00961136">
        <w:rPr>
          <w:rFonts w:ascii="Arial" w:eastAsia="Times New Roman" w:hAnsi="Arial" w:cs="Arial"/>
          <w:color w:val="000000"/>
          <w:kern w:val="0"/>
          <w:sz w:val="21"/>
          <w:szCs w:val="21"/>
          <w:lang w:eastAsia="it-IT"/>
          <w14:ligatures w14:val="none"/>
        </w:rPr>
        <w:t>UdM</w:t>
      </w:r>
      <w:proofErr w:type="spellEnd"/>
      <w:r w:rsidRPr="00961136">
        <w:rPr>
          <w:rFonts w:ascii="Arial" w:eastAsia="Times New Roman" w:hAnsi="Arial" w:cs="Arial"/>
          <w:color w:val="000000"/>
          <w:kern w:val="0"/>
          <w:sz w:val="21"/>
          <w:szCs w:val="21"/>
          <w:lang w:eastAsia="it-IT"/>
          <w14:ligatures w14:val="none"/>
        </w:rPr>
        <w:t>) del PNRR sulle </w:t>
      </w:r>
      <w:r w:rsidRPr="00961136">
        <w:rPr>
          <w:rFonts w:ascii="Arial" w:eastAsia="Times New Roman" w:hAnsi="Arial" w:cs="Arial"/>
          <w:b/>
          <w:bCs/>
          <w:color w:val="000000"/>
          <w:kern w:val="0"/>
          <w:sz w:val="21"/>
          <w:szCs w:val="21"/>
          <w:lang w:eastAsia="it-IT"/>
          <w14:ligatures w14:val="none"/>
        </w:rPr>
        <w:t>Istruzioni operative</w:t>
      </w:r>
      <w:r w:rsidRPr="00961136">
        <w:rPr>
          <w:rFonts w:ascii="Arial" w:eastAsia="Times New Roman" w:hAnsi="Arial" w:cs="Arial"/>
          <w:color w:val="000000"/>
          <w:kern w:val="0"/>
          <w:sz w:val="21"/>
          <w:szCs w:val="21"/>
          <w:lang w:eastAsia="it-IT"/>
          <w14:ligatures w14:val="none"/>
        </w:rPr>
        <w:t> relative agli investimenti “</w:t>
      </w:r>
      <w:r w:rsidRPr="00961136">
        <w:rPr>
          <w:rFonts w:ascii="Arial" w:eastAsia="Times New Roman" w:hAnsi="Arial" w:cs="Arial"/>
          <w:i/>
          <w:iCs/>
          <w:color w:val="000000"/>
          <w:kern w:val="0"/>
          <w:sz w:val="21"/>
          <w:szCs w:val="21"/>
          <w:lang w:eastAsia="it-IT"/>
          <w14:ligatures w14:val="none"/>
        </w:rPr>
        <w:t>Nuove competenze e nuovi linguaggi</w:t>
      </w:r>
      <w:r w:rsidRPr="00961136">
        <w:rPr>
          <w:rFonts w:ascii="Arial" w:eastAsia="Times New Roman" w:hAnsi="Arial" w:cs="Arial"/>
          <w:color w:val="000000"/>
          <w:kern w:val="0"/>
          <w:sz w:val="21"/>
          <w:szCs w:val="21"/>
          <w:lang w:eastAsia="it-IT"/>
          <w14:ligatures w14:val="none"/>
        </w:rPr>
        <w:t>” e “</w:t>
      </w:r>
      <w:r w:rsidRPr="00961136">
        <w:rPr>
          <w:rFonts w:ascii="Arial" w:eastAsia="Times New Roman" w:hAnsi="Arial" w:cs="Arial"/>
          <w:i/>
          <w:iCs/>
          <w:color w:val="000000"/>
          <w:kern w:val="0"/>
          <w:sz w:val="21"/>
          <w:szCs w:val="21"/>
          <w:lang w:eastAsia="it-IT"/>
          <w14:ligatures w14:val="none"/>
        </w:rPr>
        <w:t>Didattica digitale integrata e formazione del personale scolastico alla transizione digitale</w:t>
      </w:r>
      <w:r w:rsidRPr="00961136">
        <w:rPr>
          <w:rFonts w:ascii="Arial" w:eastAsia="Times New Roman" w:hAnsi="Arial" w:cs="Arial"/>
          <w:color w:val="000000"/>
          <w:kern w:val="0"/>
          <w:sz w:val="21"/>
          <w:szCs w:val="21"/>
          <w:lang w:eastAsia="it-IT"/>
          <w14:ligatures w14:val="none"/>
        </w:rPr>
        <w:t>”.</w:t>
      </w:r>
    </w:p>
    <w:p w14:paraId="110A9CF7"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hyperlink r:id="rId5" w:tgtFrame="_blank" w:history="1">
        <w:r w:rsidRPr="00961136">
          <w:rPr>
            <w:rFonts w:ascii="Arial" w:eastAsia="Times New Roman" w:hAnsi="Arial" w:cs="Arial"/>
            <w:color w:val="005EB3"/>
            <w:kern w:val="0"/>
            <w:sz w:val="21"/>
            <w:szCs w:val="21"/>
            <w:lang w:eastAsia="it-IT"/>
            <w14:ligatures w14:val="none"/>
          </w:rPr>
          <w:t>PNRR: notizie e provvedimenti</w:t>
        </w:r>
      </w:hyperlink>
    </w:p>
    <w:p w14:paraId="5F345EEF" w14:textId="77777777" w:rsidR="00961136" w:rsidRPr="00961136" w:rsidRDefault="00961136" w:rsidP="00961136">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961136">
        <w:rPr>
          <w:rFonts w:ascii="Arial" w:eastAsia="Times New Roman" w:hAnsi="Arial" w:cs="Arial"/>
          <w:b/>
          <w:bCs/>
          <w:color w:val="535353"/>
          <w:kern w:val="0"/>
          <w:sz w:val="27"/>
          <w:szCs w:val="27"/>
          <w:lang w:eastAsia="it-IT"/>
          <w14:ligatures w14:val="none"/>
        </w:rPr>
        <w:t>Investimento 3.1 “</w:t>
      </w:r>
      <w:r w:rsidRPr="00961136">
        <w:rPr>
          <w:rFonts w:ascii="Arial" w:eastAsia="Times New Roman" w:hAnsi="Arial" w:cs="Arial"/>
          <w:b/>
          <w:bCs/>
          <w:i/>
          <w:iCs/>
          <w:color w:val="535353"/>
          <w:kern w:val="0"/>
          <w:sz w:val="27"/>
          <w:szCs w:val="27"/>
          <w:lang w:eastAsia="it-IT"/>
          <w14:ligatures w14:val="none"/>
        </w:rPr>
        <w:t>Nuove competenze e nuovi linguaggi</w:t>
      </w:r>
    </w:p>
    <w:p w14:paraId="772AE14B"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lastRenderedPageBreak/>
        <w:t>Come è noto con il </w:t>
      </w:r>
      <w:hyperlink r:id="rId6" w:tgtFrame="_blank" w:history="1">
        <w:r w:rsidRPr="00961136">
          <w:rPr>
            <w:rFonts w:ascii="Arial" w:eastAsia="Times New Roman" w:hAnsi="Arial" w:cs="Arial"/>
            <w:color w:val="005EB3"/>
            <w:kern w:val="0"/>
            <w:sz w:val="21"/>
            <w:szCs w:val="21"/>
            <w:lang w:eastAsia="it-IT"/>
            <w14:ligatures w14:val="none"/>
          </w:rPr>
          <w:t>Decreto Ministeriale 65/23</w:t>
        </w:r>
      </w:hyperlink>
      <w:r w:rsidRPr="00961136">
        <w:rPr>
          <w:rFonts w:ascii="Arial" w:eastAsia="Times New Roman" w:hAnsi="Arial" w:cs="Arial"/>
          <w:color w:val="000000"/>
          <w:kern w:val="0"/>
          <w:sz w:val="21"/>
          <w:szCs w:val="21"/>
          <w:lang w:eastAsia="it-IT"/>
          <w14:ligatures w14:val="none"/>
        </w:rPr>
        <w:t>  è stata ripartita quota parte delle </w:t>
      </w:r>
      <w:r w:rsidRPr="00961136">
        <w:rPr>
          <w:rFonts w:ascii="Arial" w:eastAsia="Times New Roman" w:hAnsi="Arial" w:cs="Arial"/>
          <w:b/>
          <w:bCs/>
          <w:color w:val="000000"/>
          <w:kern w:val="0"/>
          <w:sz w:val="21"/>
          <w:szCs w:val="21"/>
          <w:lang w:eastAsia="it-IT"/>
          <w14:ligatures w14:val="none"/>
        </w:rPr>
        <w:t>risorse relative alla linea di investimento 3.1</w:t>
      </w:r>
      <w:r w:rsidRPr="00961136">
        <w:rPr>
          <w:rFonts w:ascii="Arial" w:eastAsia="Times New Roman" w:hAnsi="Arial" w:cs="Arial"/>
          <w:color w:val="000000"/>
          <w:kern w:val="0"/>
          <w:sz w:val="21"/>
          <w:szCs w:val="21"/>
          <w:lang w:eastAsia="it-IT"/>
          <w14:ligatures w14:val="none"/>
        </w:rPr>
        <w:t> “</w:t>
      </w:r>
      <w:r w:rsidRPr="00961136">
        <w:rPr>
          <w:rFonts w:ascii="Arial" w:eastAsia="Times New Roman" w:hAnsi="Arial" w:cs="Arial"/>
          <w:i/>
          <w:iCs/>
          <w:color w:val="000000"/>
          <w:kern w:val="0"/>
          <w:sz w:val="21"/>
          <w:szCs w:val="21"/>
          <w:lang w:eastAsia="it-IT"/>
          <w14:ligatures w14:val="none"/>
        </w:rPr>
        <w:t>Nuove competenze e nuovi linguaggi</w:t>
      </w:r>
      <w:r w:rsidRPr="00961136">
        <w:rPr>
          <w:rFonts w:ascii="Arial" w:eastAsia="Times New Roman" w:hAnsi="Arial" w:cs="Arial"/>
          <w:color w:val="000000"/>
          <w:kern w:val="0"/>
          <w:sz w:val="21"/>
          <w:szCs w:val="21"/>
          <w:lang w:eastAsia="it-IT"/>
          <w14:ligatures w14:val="none"/>
        </w:rPr>
        <w:t>”.</w:t>
      </w:r>
    </w:p>
    <w:p w14:paraId="4311FEB8"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In particolare sono individuate due linee di intervento:</w:t>
      </w:r>
    </w:p>
    <w:p w14:paraId="2465B814" w14:textId="77777777" w:rsidR="00961136" w:rsidRPr="00961136" w:rsidRDefault="00961136" w:rsidP="00961136">
      <w:pPr>
        <w:numPr>
          <w:ilvl w:val="0"/>
          <w:numId w:val="2"/>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961136">
        <w:rPr>
          <w:rFonts w:ascii="Arial" w:eastAsia="Times New Roman" w:hAnsi="Arial" w:cs="Arial"/>
          <w:b/>
          <w:bCs/>
          <w:color w:val="000000"/>
          <w:kern w:val="0"/>
          <w:sz w:val="21"/>
          <w:szCs w:val="21"/>
          <w:lang w:eastAsia="it-IT"/>
          <w14:ligatures w14:val="none"/>
        </w:rPr>
        <w:t>600 milioni di euro sono destinati alla realizzazione di percorsi didattici, formativi e di orientamento</w:t>
      </w:r>
      <w:r w:rsidRPr="00961136">
        <w:rPr>
          <w:rFonts w:ascii="Arial" w:eastAsia="Times New Roman" w:hAnsi="Arial" w:cs="Arial"/>
          <w:color w:val="000000"/>
          <w:kern w:val="0"/>
          <w:sz w:val="21"/>
          <w:szCs w:val="21"/>
          <w:lang w:eastAsia="it-IT"/>
          <w14:ligatures w14:val="none"/>
        </w:rPr>
        <w:t> per alunni e studenti finalizzati a:</w:t>
      </w:r>
    </w:p>
    <w:p w14:paraId="6D53ABEF" w14:textId="77777777" w:rsidR="00961136" w:rsidRPr="00961136" w:rsidRDefault="00961136" w:rsidP="00961136">
      <w:pPr>
        <w:numPr>
          <w:ilvl w:val="0"/>
          <w:numId w:val="3"/>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b/>
          <w:bCs/>
          <w:color w:val="000000"/>
          <w:kern w:val="0"/>
          <w:sz w:val="23"/>
          <w:szCs w:val="23"/>
          <w:lang w:eastAsia="it-IT"/>
          <w14:ligatures w14:val="none"/>
        </w:rPr>
        <w:t>promuovere l’integrazione, all’interno dei curricula </w:t>
      </w:r>
      <w:r w:rsidRPr="00961136">
        <w:rPr>
          <w:rFonts w:ascii="Arial" w:eastAsia="Times New Roman" w:hAnsi="Arial" w:cs="Arial"/>
          <w:color w:val="000000"/>
          <w:kern w:val="0"/>
          <w:sz w:val="23"/>
          <w:szCs w:val="23"/>
          <w:lang w:eastAsia="it-IT"/>
          <w14:ligatures w14:val="none"/>
        </w:rPr>
        <w:t>di tutti i cicli scolastici, di attività, metodologie e contenuti volti a sviluppare le </w:t>
      </w:r>
      <w:r w:rsidRPr="00961136">
        <w:rPr>
          <w:rFonts w:ascii="Arial" w:eastAsia="Times New Roman" w:hAnsi="Arial" w:cs="Arial"/>
          <w:b/>
          <w:bCs/>
          <w:color w:val="000000"/>
          <w:kern w:val="0"/>
          <w:sz w:val="23"/>
          <w:szCs w:val="23"/>
          <w:lang w:eastAsia="it-IT"/>
          <w14:ligatures w14:val="none"/>
        </w:rPr>
        <w:t>competenze STEM, digitali e di innovazione</w:t>
      </w:r>
      <w:r w:rsidRPr="00961136">
        <w:rPr>
          <w:rFonts w:ascii="Arial" w:eastAsia="Times New Roman" w:hAnsi="Arial" w:cs="Arial"/>
          <w:color w:val="000000"/>
          <w:kern w:val="0"/>
          <w:sz w:val="23"/>
          <w:szCs w:val="23"/>
          <w:lang w:eastAsia="it-IT"/>
          <w14:ligatures w14:val="none"/>
        </w:rPr>
        <w:t>, nonché quelle linguistiche,</w:t>
      </w:r>
    </w:p>
    <w:p w14:paraId="3DF7D368" w14:textId="77777777" w:rsidR="00961136" w:rsidRPr="00961136" w:rsidRDefault="00961136" w:rsidP="00961136">
      <w:pPr>
        <w:numPr>
          <w:ilvl w:val="0"/>
          <w:numId w:val="3"/>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garantire </w:t>
      </w:r>
      <w:r w:rsidRPr="00961136">
        <w:rPr>
          <w:rFonts w:ascii="Arial" w:eastAsia="Times New Roman" w:hAnsi="Arial" w:cs="Arial"/>
          <w:b/>
          <w:bCs/>
          <w:color w:val="000000"/>
          <w:kern w:val="0"/>
          <w:sz w:val="23"/>
          <w:szCs w:val="23"/>
          <w:lang w:eastAsia="it-IT"/>
          <w14:ligatures w14:val="none"/>
        </w:rPr>
        <w:t>pari opportunità e parità di genere</w:t>
      </w:r>
      <w:r w:rsidRPr="00961136">
        <w:rPr>
          <w:rFonts w:ascii="Arial" w:eastAsia="Times New Roman" w:hAnsi="Arial" w:cs="Arial"/>
          <w:color w:val="000000"/>
          <w:kern w:val="0"/>
          <w:sz w:val="23"/>
          <w:szCs w:val="23"/>
          <w:lang w:eastAsia="it-IT"/>
          <w14:ligatures w14:val="none"/>
        </w:rPr>
        <w:t> in termini di approccio metodologico e di attività di orientamento STEM. </w:t>
      </w:r>
    </w:p>
    <w:p w14:paraId="6775FFB1" w14:textId="77777777" w:rsidR="00961136" w:rsidRPr="00961136" w:rsidRDefault="00961136" w:rsidP="00961136">
      <w:pPr>
        <w:numPr>
          <w:ilvl w:val="0"/>
          <w:numId w:val="4"/>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961136">
        <w:rPr>
          <w:rFonts w:ascii="Arial" w:eastAsia="Times New Roman" w:hAnsi="Arial" w:cs="Arial"/>
          <w:b/>
          <w:bCs/>
          <w:color w:val="000000"/>
          <w:kern w:val="0"/>
          <w:sz w:val="21"/>
          <w:szCs w:val="21"/>
          <w:lang w:eastAsia="it-IT"/>
          <w14:ligatures w14:val="none"/>
        </w:rPr>
        <w:t>150 milioni di euro per la realizzazione di percorsi formativi di lingua e di metodologia di durata annuale</w:t>
      </w:r>
      <w:r w:rsidRPr="00961136">
        <w:rPr>
          <w:rFonts w:ascii="Arial" w:eastAsia="Times New Roman" w:hAnsi="Arial" w:cs="Arial"/>
          <w:color w:val="000000"/>
          <w:kern w:val="0"/>
          <w:sz w:val="21"/>
          <w:szCs w:val="21"/>
          <w:lang w:eastAsia="it-IT"/>
          <w14:ligatures w14:val="none"/>
        </w:rPr>
        <w:t>, finalizzati al potenziamento delle </w:t>
      </w:r>
      <w:r w:rsidRPr="00961136">
        <w:rPr>
          <w:rFonts w:ascii="Arial" w:eastAsia="Times New Roman" w:hAnsi="Arial" w:cs="Arial"/>
          <w:b/>
          <w:bCs/>
          <w:color w:val="000000"/>
          <w:kern w:val="0"/>
          <w:sz w:val="21"/>
          <w:szCs w:val="21"/>
          <w:lang w:eastAsia="it-IT"/>
          <w14:ligatures w14:val="none"/>
        </w:rPr>
        <w:t>competenze linguistiche dei docenti in servizio </w:t>
      </w:r>
      <w:r w:rsidRPr="00961136">
        <w:rPr>
          <w:rFonts w:ascii="Arial" w:eastAsia="Times New Roman" w:hAnsi="Arial" w:cs="Arial"/>
          <w:color w:val="000000"/>
          <w:kern w:val="0"/>
          <w:sz w:val="21"/>
          <w:szCs w:val="21"/>
          <w:lang w:eastAsia="it-IT"/>
          <w14:ligatures w14:val="none"/>
        </w:rPr>
        <w:t>e al miglioramento delle loro competenze metodologiche di insegnamento.</w:t>
      </w:r>
    </w:p>
    <w:p w14:paraId="34DF0B02"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Riguardo alla </w:t>
      </w:r>
      <w:r w:rsidRPr="00961136">
        <w:rPr>
          <w:rFonts w:ascii="Arial" w:eastAsia="Times New Roman" w:hAnsi="Arial" w:cs="Arial"/>
          <w:b/>
          <w:bCs/>
          <w:color w:val="000000"/>
          <w:kern w:val="0"/>
          <w:sz w:val="21"/>
          <w:szCs w:val="21"/>
          <w:lang w:eastAsia="it-IT"/>
          <w14:ligatures w14:val="none"/>
        </w:rPr>
        <w:t>linea a),</w:t>
      </w:r>
      <w:r w:rsidRPr="00961136">
        <w:rPr>
          <w:rFonts w:ascii="Arial" w:eastAsia="Times New Roman" w:hAnsi="Arial" w:cs="Arial"/>
          <w:color w:val="000000"/>
          <w:kern w:val="0"/>
          <w:sz w:val="21"/>
          <w:szCs w:val="21"/>
          <w:lang w:eastAsia="it-IT"/>
          <w14:ligatures w14:val="none"/>
        </w:rPr>
        <w:t> l’</w:t>
      </w:r>
      <w:proofErr w:type="spellStart"/>
      <w:r w:rsidRPr="00961136">
        <w:rPr>
          <w:rFonts w:ascii="Arial" w:eastAsia="Times New Roman" w:hAnsi="Arial" w:cs="Arial"/>
          <w:color w:val="000000"/>
          <w:kern w:val="0"/>
          <w:sz w:val="21"/>
          <w:szCs w:val="21"/>
          <w:lang w:eastAsia="it-IT"/>
          <w14:ligatures w14:val="none"/>
        </w:rPr>
        <w:t>UdM</w:t>
      </w:r>
      <w:proofErr w:type="spellEnd"/>
      <w:r w:rsidRPr="00961136">
        <w:rPr>
          <w:rFonts w:ascii="Arial" w:eastAsia="Times New Roman" w:hAnsi="Arial" w:cs="Arial"/>
          <w:color w:val="000000"/>
          <w:kern w:val="0"/>
          <w:sz w:val="21"/>
          <w:szCs w:val="21"/>
          <w:lang w:eastAsia="it-IT"/>
          <w14:ligatures w14:val="none"/>
        </w:rPr>
        <w:t xml:space="preserve"> ha comunicato innanzitutto che, insieme alle istruzioni operative, </w:t>
      </w:r>
      <w:r w:rsidRPr="00961136">
        <w:rPr>
          <w:rFonts w:ascii="Arial" w:eastAsia="Times New Roman" w:hAnsi="Arial" w:cs="Arial"/>
          <w:b/>
          <w:bCs/>
          <w:color w:val="000000"/>
          <w:kern w:val="0"/>
          <w:sz w:val="21"/>
          <w:szCs w:val="21"/>
          <w:lang w:eastAsia="it-IT"/>
          <w14:ligatures w14:val="none"/>
        </w:rPr>
        <w:t>saranno pubblicate le linee guida per l'introduzione nel piano triennale dell’offerta</w:t>
      </w:r>
      <w:r w:rsidRPr="00961136">
        <w:rPr>
          <w:rFonts w:ascii="Arial" w:eastAsia="Times New Roman" w:hAnsi="Arial" w:cs="Arial"/>
          <w:color w:val="000000"/>
          <w:kern w:val="0"/>
          <w:sz w:val="21"/>
          <w:szCs w:val="21"/>
          <w:lang w:eastAsia="it-IT"/>
          <w14:ligatures w14:val="none"/>
        </w:rPr>
        <w:t> formativa delle istituzioni scolastiche dell’infanzia, del primo e del secondo ciclo di istruzione e nella programmazione educativa dei servizi educative per l’infanzia, </w:t>
      </w:r>
      <w:r w:rsidRPr="00961136">
        <w:rPr>
          <w:rFonts w:ascii="Arial" w:eastAsia="Times New Roman" w:hAnsi="Arial" w:cs="Arial"/>
          <w:b/>
          <w:bCs/>
          <w:color w:val="000000"/>
          <w:kern w:val="0"/>
          <w:sz w:val="21"/>
          <w:szCs w:val="21"/>
          <w:lang w:eastAsia="it-IT"/>
          <w14:ligatures w14:val="none"/>
        </w:rPr>
        <w:t>di azioni dedicate a rafforzare nei curricoli lo sviluppo delle competenze matematico-scientifico-tecnologiche e digitali</w:t>
      </w:r>
      <w:r w:rsidRPr="00961136">
        <w:rPr>
          <w:rFonts w:ascii="Arial" w:eastAsia="Times New Roman" w:hAnsi="Arial" w:cs="Arial"/>
          <w:color w:val="000000"/>
          <w:kern w:val="0"/>
          <w:sz w:val="21"/>
          <w:szCs w:val="21"/>
          <w:lang w:eastAsia="it-IT"/>
          <w14:ligatures w14:val="none"/>
        </w:rPr>
        <w:t> (</w:t>
      </w:r>
      <w:r w:rsidRPr="00961136">
        <w:rPr>
          <w:rFonts w:ascii="Arial" w:eastAsia="Times New Roman" w:hAnsi="Arial" w:cs="Arial"/>
          <w:i/>
          <w:iCs/>
          <w:color w:val="000000"/>
          <w:kern w:val="0"/>
          <w:sz w:val="21"/>
          <w:szCs w:val="21"/>
          <w:lang w:eastAsia="it-IT"/>
          <w14:ligatures w14:val="none"/>
        </w:rPr>
        <w:t>Linee guida STEM</w:t>
      </w:r>
      <w:r w:rsidRPr="00961136">
        <w:rPr>
          <w:rFonts w:ascii="Arial" w:eastAsia="Times New Roman" w:hAnsi="Arial" w:cs="Arial"/>
          <w:color w:val="000000"/>
          <w:kern w:val="0"/>
          <w:sz w:val="21"/>
          <w:szCs w:val="21"/>
          <w:lang w:eastAsia="it-IT"/>
          <w14:ligatures w14:val="none"/>
        </w:rPr>
        <w:t>).</w:t>
      </w:r>
    </w:p>
    <w:p w14:paraId="6BB6202B"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Le istruzioni prevederanno le </w:t>
      </w:r>
      <w:r w:rsidRPr="00961136">
        <w:rPr>
          <w:rFonts w:ascii="Arial" w:eastAsia="Times New Roman" w:hAnsi="Arial" w:cs="Arial"/>
          <w:b/>
          <w:bCs/>
          <w:color w:val="000000"/>
          <w:kern w:val="0"/>
          <w:sz w:val="21"/>
          <w:szCs w:val="21"/>
          <w:lang w:eastAsia="it-IT"/>
          <w14:ligatures w14:val="none"/>
        </w:rPr>
        <w:t>seguenti azioni:</w:t>
      </w:r>
    </w:p>
    <w:p w14:paraId="44FD06A9" w14:textId="77777777" w:rsidR="00961136" w:rsidRPr="00961136" w:rsidRDefault="00961136" w:rsidP="00961136">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percorsi di orientamento e formazione;</w:t>
      </w:r>
    </w:p>
    <w:p w14:paraId="39F550BF" w14:textId="77777777" w:rsidR="00961136" w:rsidRPr="00961136" w:rsidRDefault="00961136" w:rsidP="00961136">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percorsi di tutoraggio;</w:t>
      </w:r>
    </w:p>
    <w:p w14:paraId="13277094" w14:textId="77777777" w:rsidR="00961136" w:rsidRPr="00961136" w:rsidRDefault="00961136" w:rsidP="00961136">
      <w:pPr>
        <w:numPr>
          <w:ilvl w:val="0"/>
          <w:numId w:val="5"/>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percorsi di lingua.</w:t>
      </w:r>
    </w:p>
    <w:p w14:paraId="6B16924A"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È inoltre prevista la costituzione di un </w:t>
      </w:r>
      <w:r w:rsidRPr="00961136">
        <w:rPr>
          <w:rFonts w:ascii="Arial" w:eastAsia="Times New Roman" w:hAnsi="Arial" w:cs="Arial"/>
          <w:b/>
          <w:bCs/>
          <w:color w:val="000000"/>
          <w:kern w:val="0"/>
          <w:sz w:val="21"/>
          <w:szCs w:val="21"/>
          <w:lang w:eastAsia="it-IT"/>
          <w14:ligatures w14:val="none"/>
        </w:rPr>
        <w:t>gruppo di lavoro di coordinamento delle attività</w:t>
      </w:r>
      <w:r w:rsidRPr="00961136">
        <w:rPr>
          <w:rFonts w:ascii="Arial" w:eastAsia="Times New Roman" w:hAnsi="Arial" w:cs="Arial"/>
          <w:color w:val="000000"/>
          <w:kern w:val="0"/>
          <w:sz w:val="21"/>
          <w:szCs w:val="21"/>
          <w:lang w:eastAsia="it-IT"/>
          <w14:ligatures w14:val="none"/>
        </w:rPr>
        <w:t>.</w:t>
      </w:r>
    </w:p>
    <w:p w14:paraId="5BF70762"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Per ciascuna delle attività didattiche e formative sopra elencate è indicato la </w:t>
      </w:r>
      <w:r w:rsidRPr="00961136">
        <w:rPr>
          <w:rFonts w:ascii="Arial" w:eastAsia="Times New Roman" w:hAnsi="Arial" w:cs="Arial"/>
          <w:b/>
          <w:bCs/>
          <w:color w:val="000000"/>
          <w:kern w:val="0"/>
          <w:sz w:val="21"/>
          <w:szCs w:val="21"/>
          <w:lang w:eastAsia="it-IT"/>
          <w14:ligatures w14:val="none"/>
        </w:rPr>
        <w:t>modalità di fruizion</w:t>
      </w:r>
      <w:r w:rsidRPr="00961136">
        <w:rPr>
          <w:rFonts w:ascii="Arial" w:eastAsia="Times New Roman" w:hAnsi="Arial" w:cs="Arial"/>
          <w:color w:val="000000"/>
          <w:kern w:val="0"/>
          <w:sz w:val="21"/>
          <w:szCs w:val="21"/>
          <w:lang w:eastAsia="it-IT"/>
          <w14:ligatures w14:val="none"/>
        </w:rPr>
        <w:t>e, i </w:t>
      </w:r>
      <w:r w:rsidRPr="00961136">
        <w:rPr>
          <w:rFonts w:ascii="Arial" w:eastAsia="Times New Roman" w:hAnsi="Arial" w:cs="Arial"/>
          <w:b/>
          <w:bCs/>
          <w:color w:val="000000"/>
          <w:kern w:val="0"/>
          <w:sz w:val="21"/>
          <w:szCs w:val="21"/>
          <w:lang w:eastAsia="it-IT"/>
          <w14:ligatures w14:val="none"/>
        </w:rPr>
        <w:t>costi diretti</w:t>
      </w:r>
      <w:r w:rsidRPr="00961136">
        <w:rPr>
          <w:rFonts w:ascii="Arial" w:eastAsia="Times New Roman" w:hAnsi="Arial" w:cs="Arial"/>
          <w:color w:val="000000"/>
          <w:kern w:val="0"/>
          <w:sz w:val="21"/>
          <w:szCs w:val="21"/>
          <w:lang w:eastAsia="it-IT"/>
          <w14:ligatures w14:val="none"/>
        </w:rPr>
        <w:t>, i </w:t>
      </w:r>
      <w:r w:rsidRPr="00961136">
        <w:rPr>
          <w:rFonts w:ascii="Arial" w:eastAsia="Times New Roman" w:hAnsi="Arial" w:cs="Arial"/>
          <w:b/>
          <w:bCs/>
          <w:color w:val="000000"/>
          <w:kern w:val="0"/>
          <w:sz w:val="21"/>
          <w:szCs w:val="21"/>
          <w:lang w:eastAsia="it-IT"/>
          <w14:ligatures w14:val="none"/>
        </w:rPr>
        <w:t>costi indiretti</w:t>
      </w:r>
      <w:r w:rsidRPr="00961136">
        <w:rPr>
          <w:rFonts w:ascii="Arial" w:eastAsia="Times New Roman" w:hAnsi="Arial" w:cs="Arial"/>
          <w:color w:val="000000"/>
          <w:kern w:val="0"/>
          <w:sz w:val="21"/>
          <w:szCs w:val="21"/>
          <w:lang w:eastAsia="it-IT"/>
          <w14:ligatures w14:val="none"/>
        </w:rPr>
        <w:t> con individuazione del </w:t>
      </w:r>
      <w:r w:rsidRPr="00961136">
        <w:rPr>
          <w:rFonts w:ascii="Arial" w:eastAsia="Times New Roman" w:hAnsi="Arial" w:cs="Arial"/>
          <w:b/>
          <w:bCs/>
          <w:color w:val="000000"/>
          <w:kern w:val="0"/>
          <w:sz w:val="21"/>
          <w:szCs w:val="21"/>
          <w:lang w:eastAsia="it-IT"/>
          <w14:ligatures w14:val="none"/>
        </w:rPr>
        <w:t>tasso forfettario</w:t>
      </w:r>
      <w:r w:rsidRPr="00961136">
        <w:rPr>
          <w:rFonts w:ascii="Arial" w:eastAsia="Times New Roman" w:hAnsi="Arial" w:cs="Arial"/>
          <w:color w:val="000000"/>
          <w:kern w:val="0"/>
          <w:sz w:val="21"/>
          <w:szCs w:val="21"/>
          <w:lang w:eastAsia="it-IT"/>
          <w14:ligatures w14:val="none"/>
        </w:rPr>
        <w:t> in relazione ai costi diretti, l’</w:t>
      </w:r>
      <w:r w:rsidRPr="00961136">
        <w:rPr>
          <w:rFonts w:ascii="Arial" w:eastAsia="Times New Roman" w:hAnsi="Arial" w:cs="Arial"/>
          <w:b/>
          <w:bCs/>
          <w:color w:val="000000"/>
          <w:kern w:val="0"/>
          <w:sz w:val="21"/>
          <w:szCs w:val="21"/>
          <w:lang w:eastAsia="it-IT"/>
          <w14:ligatures w14:val="none"/>
        </w:rPr>
        <w:t>Unità di costo standard</w:t>
      </w:r>
      <w:r w:rsidRPr="00961136">
        <w:rPr>
          <w:rFonts w:ascii="Arial" w:eastAsia="Times New Roman" w:hAnsi="Arial" w:cs="Arial"/>
          <w:color w:val="000000"/>
          <w:kern w:val="0"/>
          <w:sz w:val="21"/>
          <w:szCs w:val="21"/>
          <w:lang w:eastAsia="it-IT"/>
          <w14:ligatures w14:val="none"/>
        </w:rPr>
        <w:t> (UCS).</w:t>
      </w:r>
    </w:p>
    <w:p w14:paraId="2EE32706"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In particolare:</w:t>
      </w:r>
    </w:p>
    <w:p w14:paraId="5B5CE4A6" w14:textId="77777777" w:rsidR="00961136" w:rsidRPr="00961136" w:rsidRDefault="00961136" w:rsidP="00961136">
      <w:pPr>
        <w:numPr>
          <w:ilvl w:val="0"/>
          <w:numId w:val="6"/>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per </w:t>
      </w:r>
      <w:r w:rsidRPr="00961136">
        <w:rPr>
          <w:rFonts w:ascii="Arial" w:eastAsia="Times New Roman" w:hAnsi="Arial" w:cs="Arial"/>
          <w:b/>
          <w:bCs/>
          <w:color w:val="000000"/>
          <w:kern w:val="0"/>
          <w:sz w:val="23"/>
          <w:szCs w:val="23"/>
          <w:lang w:eastAsia="it-IT"/>
          <w14:ligatures w14:val="none"/>
        </w:rPr>
        <w:t>percorsi di orientamento e formazione</w:t>
      </w:r>
      <w:r w:rsidRPr="00961136">
        <w:rPr>
          <w:rFonts w:ascii="Arial" w:eastAsia="Times New Roman" w:hAnsi="Arial" w:cs="Arial"/>
          <w:color w:val="000000"/>
          <w:kern w:val="0"/>
          <w:sz w:val="23"/>
          <w:szCs w:val="23"/>
          <w:lang w:eastAsia="it-IT"/>
          <w14:ligatures w14:val="none"/>
        </w:rPr>
        <w:t> sono previste la </w:t>
      </w:r>
      <w:r w:rsidRPr="00961136">
        <w:rPr>
          <w:rFonts w:ascii="Arial" w:eastAsia="Times New Roman" w:hAnsi="Arial" w:cs="Arial"/>
          <w:b/>
          <w:bCs/>
          <w:color w:val="000000"/>
          <w:kern w:val="0"/>
          <w:sz w:val="23"/>
          <w:szCs w:val="23"/>
          <w:lang w:eastAsia="it-IT"/>
          <w14:ligatures w14:val="none"/>
        </w:rPr>
        <w:t>figura del docente</w:t>
      </w:r>
      <w:r w:rsidRPr="00961136">
        <w:rPr>
          <w:rFonts w:ascii="Arial" w:eastAsia="Times New Roman" w:hAnsi="Arial" w:cs="Arial"/>
          <w:color w:val="000000"/>
          <w:kern w:val="0"/>
          <w:sz w:val="23"/>
          <w:szCs w:val="23"/>
          <w:lang w:eastAsia="it-IT"/>
          <w14:ligatures w14:val="none"/>
        </w:rPr>
        <w:t> con costo orario standard di </w:t>
      </w:r>
      <w:r w:rsidRPr="00961136">
        <w:rPr>
          <w:rFonts w:ascii="Arial" w:eastAsia="Times New Roman" w:hAnsi="Arial" w:cs="Arial"/>
          <w:b/>
          <w:bCs/>
          <w:color w:val="000000"/>
          <w:kern w:val="0"/>
          <w:sz w:val="23"/>
          <w:szCs w:val="23"/>
          <w:lang w:eastAsia="it-IT"/>
          <w14:ligatures w14:val="none"/>
        </w:rPr>
        <w:t>€ 79,00</w:t>
      </w:r>
      <w:r w:rsidRPr="00961136">
        <w:rPr>
          <w:rFonts w:ascii="Arial" w:eastAsia="Times New Roman" w:hAnsi="Arial" w:cs="Arial"/>
          <w:color w:val="000000"/>
          <w:kern w:val="0"/>
          <w:sz w:val="23"/>
          <w:szCs w:val="23"/>
          <w:lang w:eastAsia="it-IT"/>
          <w14:ligatures w14:val="none"/>
        </w:rPr>
        <w:t> e quella del </w:t>
      </w:r>
      <w:r w:rsidRPr="00961136">
        <w:rPr>
          <w:rFonts w:ascii="Arial" w:eastAsia="Times New Roman" w:hAnsi="Arial" w:cs="Arial"/>
          <w:b/>
          <w:bCs/>
          <w:color w:val="000000"/>
          <w:kern w:val="0"/>
          <w:sz w:val="23"/>
          <w:szCs w:val="23"/>
          <w:lang w:eastAsia="it-IT"/>
          <w14:ligatures w14:val="none"/>
        </w:rPr>
        <w:t>tutor </w:t>
      </w:r>
      <w:r w:rsidRPr="00961136">
        <w:rPr>
          <w:rFonts w:ascii="Arial" w:eastAsia="Times New Roman" w:hAnsi="Arial" w:cs="Arial"/>
          <w:color w:val="000000"/>
          <w:kern w:val="0"/>
          <w:sz w:val="23"/>
          <w:szCs w:val="23"/>
          <w:lang w:eastAsia="it-IT"/>
          <w14:ligatures w14:val="none"/>
        </w:rPr>
        <w:t>con costo orario standard pari a </w:t>
      </w:r>
      <w:r w:rsidRPr="00961136">
        <w:rPr>
          <w:rFonts w:ascii="Arial" w:eastAsia="Times New Roman" w:hAnsi="Arial" w:cs="Arial"/>
          <w:b/>
          <w:bCs/>
          <w:color w:val="000000"/>
          <w:kern w:val="0"/>
          <w:sz w:val="23"/>
          <w:szCs w:val="23"/>
          <w:lang w:eastAsia="it-IT"/>
          <w14:ligatures w14:val="none"/>
        </w:rPr>
        <w:t>€34;</w:t>
      </w:r>
    </w:p>
    <w:p w14:paraId="15BC9B7C" w14:textId="77777777" w:rsidR="00961136" w:rsidRPr="00961136" w:rsidRDefault="00961136" w:rsidP="00961136">
      <w:pPr>
        <w:numPr>
          <w:ilvl w:val="0"/>
          <w:numId w:val="6"/>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per </w:t>
      </w:r>
      <w:r w:rsidRPr="00961136">
        <w:rPr>
          <w:rFonts w:ascii="Arial" w:eastAsia="Times New Roman" w:hAnsi="Arial" w:cs="Arial"/>
          <w:b/>
          <w:bCs/>
          <w:color w:val="000000"/>
          <w:kern w:val="0"/>
          <w:sz w:val="23"/>
          <w:szCs w:val="23"/>
          <w:lang w:eastAsia="it-IT"/>
          <w14:ligatures w14:val="none"/>
        </w:rPr>
        <w:t>percorsi di tutoraggio</w:t>
      </w:r>
      <w:r w:rsidRPr="00961136">
        <w:rPr>
          <w:rFonts w:ascii="Arial" w:eastAsia="Times New Roman" w:hAnsi="Arial" w:cs="Arial"/>
          <w:color w:val="000000"/>
          <w:kern w:val="0"/>
          <w:sz w:val="23"/>
          <w:szCs w:val="23"/>
          <w:lang w:eastAsia="it-IT"/>
          <w14:ligatures w14:val="none"/>
        </w:rPr>
        <w:t> è prevista la figura del </w:t>
      </w:r>
      <w:proofErr w:type="spellStart"/>
      <w:r w:rsidRPr="00961136">
        <w:rPr>
          <w:rFonts w:ascii="Arial" w:eastAsia="Times New Roman" w:hAnsi="Arial" w:cs="Arial"/>
          <w:i/>
          <w:iCs/>
          <w:color w:val="000000"/>
          <w:kern w:val="0"/>
          <w:sz w:val="23"/>
          <w:szCs w:val="23"/>
          <w:lang w:eastAsia="it-IT"/>
          <w14:ligatures w14:val="none"/>
        </w:rPr>
        <w:t>mentor</w:t>
      </w:r>
      <w:proofErr w:type="spellEnd"/>
      <w:r w:rsidRPr="00961136">
        <w:rPr>
          <w:rFonts w:ascii="Arial" w:eastAsia="Times New Roman" w:hAnsi="Arial" w:cs="Arial"/>
          <w:color w:val="000000"/>
          <w:kern w:val="0"/>
          <w:sz w:val="23"/>
          <w:szCs w:val="23"/>
          <w:lang w:eastAsia="it-IT"/>
          <w14:ligatures w14:val="none"/>
        </w:rPr>
        <w:t> con costo orario standard di </w:t>
      </w:r>
      <w:r w:rsidRPr="00961136">
        <w:rPr>
          <w:rFonts w:ascii="Arial" w:eastAsia="Times New Roman" w:hAnsi="Arial" w:cs="Arial"/>
          <w:b/>
          <w:bCs/>
          <w:color w:val="000000"/>
          <w:kern w:val="0"/>
          <w:sz w:val="23"/>
          <w:szCs w:val="23"/>
          <w:lang w:eastAsia="it-IT"/>
          <w14:ligatures w14:val="none"/>
        </w:rPr>
        <w:t>€79;</w:t>
      </w:r>
    </w:p>
    <w:p w14:paraId="7FA59C17" w14:textId="77777777" w:rsidR="00961136" w:rsidRPr="00961136" w:rsidRDefault="00961136" w:rsidP="00961136">
      <w:pPr>
        <w:numPr>
          <w:ilvl w:val="0"/>
          <w:numId w:val="6"/>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per i </w:t>
      </w:r>
      <w:r w:rsidRPr="00961136">
        <w:rPr>
          <w:rFonts w:ascii="Arial" w:eastAsia="Times New Roman" w:hAnsi="Arial" w:cs="Arial"/>
          <w:b/>
          <w:bCs/>
          <w:color w:val="000000"/>
          <w:kern w:val="0"/>
          <w:sz w:val="23"/>
          <w:szCs w:val="23"/>
          <w:lang w:eastAsia="it-IT"/>
          <w14:ligatures w14:val="none"/>
        </w:rPr>
        <w:t>percorsi di lingua</w:t>
      </w:r>
      <w:r w:rsidRPr="00961136">
        <w:rPr>
          <w:rFonts w:ascii="Arial" w:eastAsia="Times New Roman" w:hAnsi="Arial" w:cs="Arial"/>
          <w:color w:val="000000"/>
          <w:kern w:val="0"/>
          <w:sz w:val="23"/>
          <w:szCs w:val="23"/>
          <w:lang w:eastAsia="it-IT"/>
          <w14:ligatures w14:val="none"/>
        </w:rPr>
        <w:t> il costo orario standard del docente è pari a </w:t>
      </w:r>
      <w:r w:rsidRPr="00961136">
        <w:rPr>
          <w:rFonts w:ascii="Arial" w:eastAsia="Times New Roman" w:hAnsi="Arial" w:cs="Arial"/>
          <w:b/>
          <w:bCs/>
          <w:color w:val="000000"/>
          <w:kern w:val="0"/>
          <w:sz w:val="23"/>
          <w:szCs w:val="23"/>
          <w:lang w:eastAsia="it-IT"/>
          <w14:ligatures w14:val="none"/>
        </w:rPr>
        <w:t>€79.</w:t>
      </w:r>
    </w:p>
    <w:p w14:paraId="0F621977"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I </w:t>
      </w:r>
      <w:r w:rsidRPr="00961136">
        <w:rPr>
          <w:rFonts w:ascii="Arial" w:eastAsia="Times New Roman" w:hAnsi="Arial" w:cs="Arial"/>
          <w:b/>
          <w:bCs/>
          <w:color w:val="000000"/>
          <w:kern w:val="0"/>
          <w:sz w:val="21"/>
          <w:szCs w:val="21"/>
          <w:lang w:eastAsia="it-IT"/>
          <w14:ligatures w14:val="none"/>
        </w:rPr>
        <w:t>costi indiretti sono pari al 40 % dei costi diretti</w:t>
      </w:r>
      <w:r w:rsidRPr="00961136">
        <w:rPr>
          <w:rFonts w:ascii="Arial" w:eastAsia="Times New Roman" w:hAnsi="Arial" w:cs="Arial"/>
          <w:color w:val="000000"/>
          <w:kern w:val="0"/>
          <w:sz w:val="21"/>
          <w:szCs w:val="21"/>
          <w:lang w:eastAsia="it-IT"/>
          <w14:ligatures w14:val="none"/>
        </w:rPr>
        <w:t> sopra indicati.</w:t>
      </w:r>
    </w:p>
    <w:p w14:paraId="4177AE7E"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Per i componenti del </w:t>
      </w:r>
      <w:r w:rsidRPr="00961136">
        <w:rPr>
          <w:rFonts w:ascii="Arial" w:eastAsia="Times New Roman" w:hAnsi="Arial" w:cs="Arial"/>
          <w:b/>
          <w:bCs/>
          <w:color w:val="000000"/>
          <w:kern w:val="0"/>
          <w:sz w:val="21"/>
          <w:szCs w:val="21"/>
          <w:lang w:eastAsia="it-IT"/>
          <w14:ligatures w14:val="none"/>
        </w:rPr>
        <w:t>gruppo di lavoro</w:t>
      </w:r>
      <w:r w:rsidRPr="00961136">
        <w:rPr>
          <w:rFonts w:ascii="Arial" w:eastAsia="Times New Roman" w:hAnsi="Arial" w:cs="Arial"/>
          <w:color w:val="000000"/>
          <w:kern w:val="0"/>
          <w:sz w:val="21"/>
          <w:szCs w:val="21"/>
          <w:lang w:eastAsia="it-IT"/>
          <w14:ligatures w14:val="none"/>
        </w:rPr>
        <w:t> la retribuzione oraria è pari a </w:t>
      </w:r>
      <w:r w:rsidRPr="00961136">
        <w:rPr>
          <w:rFonts w:ascii="Arial" w:eastAsia="Times New Roman" w:hAnsi="Arial" w:cs="Arial"/>
          <w:b/>
          <w:bCs/>
          <w:color w:val="000000"/>
          <w:kern w:val="0"/>
          <w:sz w:val="21"/>
          <w:szCs w:val="21"/>
          <w:lang w:eastAsia="it-IT"/>
          <w14:ligatures w14:val="none"/>
        </w:rPr>
        <w:t>€34.</w:t>
      </w:r>
    </w:p>
    <w:p w14:paraId="276DDD75"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Riguardo alla </w:t>
      </w:r>
      <w:r w:rsidRPr="00961136">
        <w:rPr>
          <w:rFonts w:ascii="Arial" w:eastAsia="Times New Roman" w:hAnsi="Arial" w:cs="Arial"/>
          <w:b/>
          <w:bCs/>
          <w:color w:val="000000"/>
          <w:kern w:val="0"/>
          <w:sz w:val="21"/>
          <w:szCs w:val="21"/>
          <w:lang w:eastAsia="it-IT"/>
          <w14:ligatures w14:val="none"/>
        </w:rPr>
        <w:t>linea b)</w:t>
      </w:r>
      <w:r w:rsidRPr="00961136">
        <w:rPr>
          <w:rFonts w:ascii="Arial" w:eastAsia="Times New Roman" w:hAnsi="Arial" w:cs="Arial"/>
          <w:color w:val="000000"/>
          <w:kern w:val="0"/>
          <w:sz w:val="21"/>
          <w:szCs w:val="21"/>
          <w:lang w:eastAsia="it-IT"/>
          <w14:ligatures w14:val="none"/>
        </w:rPr>
        <w:t> (percorsi annuali di lingua) l’unità di costo standard per l’erogazione percorsi è di </w:t>
      </w:r>
      <w:r w:rsidRPr="00961136">
        <w:rPr>
          <w:rFonts w:ascii="Arial" w:eastAsia="Times New Roman" w:hAnsi="Arial" w:cs="Arial"/>
          <w:b/>
          <w:bCs/>
          <w:color w:val="000000"/>
          <w:kern w:val="0"/>
          <w:sz w:val="21"/>
          <w:szCs w:val="21"/>
          <w:lang w:eastAsia="it-IT"/>
          <w14:ligatures w14:val="none"/>
        </w:rPr>
        <w:t>€ 122</w:t>
      </w:r>
      <w:r w:rsidRPr="00961136">
        <w:rPr>
          <w:rFonts w:ascii="Arial" w:eastAsia="Times New Roman" w:hAnsi="Arial" w:cs="Arial"/>
          <w:color w:val="000000"/>
          <w:kern w:val="0"/>
          <w:sz w:val="21"/>
          <w:szCs w:val="21"/>
          <w:lang w:eastAsia="it-IT"/>
          <w14:ligatures w14:val="none"/>
        </w:rPr>
        <w:t>, mentre i costi indiretti sono pari al 40% dei costi diretti.</w:t>
      </w:r>
    </w:p>
    <w:p w14:paraId="3CD5A87F" w14:textId="77777777" w:rsidR="00961136" w:rsidRPr="00961136" w:rsidRDefault="00961136" w:rsidP="00961136">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961136">
        <w:rPr>
          <w:rFonts w:ascii="Arial" w:eastAsia="Times New Roman" w:hAnsi="Arial" w:cs="Arial"/>
          <w:b/>
          <w:bCs/>
          <w:color w:val="535353"/>
          <w:kern w:val="0"/>
          <w:sz w:val="27"/>
          <w:szCs w:val="27"/>
          <w:lang w:eastAsia="it-IT"/>
          <w14:ligatures w14:val="none"/>
        </w:rPr>
        <w:t>Investimento 2.1 “</w:t>
      </w:r>
      <w:r w:rsidRPr="00961136">
        <w:rPr>
          <w:rFonts w:ascii="Arial" w:eastAsia="Times New Roman" w:hAnsi="Arial" w:cs="Arial"/>
          <w:b/>
          <w:bCs/>
          <w:i/>
          <w:iCs/>
          <w:color w:val="535353"/>
          <w:kern w:val="0"/>
          <w:sz w:val="27"/>
          <w:szCs w:val="27"/>
          <w:lang w:eastAsia="it-IT"/>
          <w14:ligatures w14:val="none"/>
        </w:rPr>
        <w:t>Didattica digitale integrata e formazione alla transizione digitale per il personale scolastico</w:t>
      </w:r>
      <w:r w:rsidRPr="00961136">
        <w:rPr>
          <w:rFonts w:ascii="Arial" w:eastAsia="Times New Roman" w:hAnsi="Arial" w:cs="Arial"/>
          <w:b/>
          <w:bCs/>
          <w:color w:val="535353"/>
          <w:kern w:val="0"/>
          <w:sz w:val="27"/>
          <w:szCs w:val="27"/>
          <w:lang w:eastAsia="it-IT"/>
          <w14:ligatures w14:val="none"/>
        </w:rPr>
        <w:t>”.</w:t>
      </w:r>
    </w:p>
    <w:p w14:paraId="6BADE58D"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lastRenderedPageBreak/>
        <w:t>Con il </w:t>
      </w:r>
      <w:hyperlink r:id="rId7" w:tgtFrame="_blank" w:history="1">
        <w:r w:rsidRPr="00961136">
          <w:rPr>
            <w:rFonts w:ascii="Arial" w:eastAsia="Times New Roman" w:hAnsi="Arial" w:cs="Arial"/>
            <w:color w:val="005EB3"/>
            <w:kern w:val="0"/>
            <w:sz w:val="21"/>
            <w:szCs w:val="21"/>
            <w:lang w:eastAsia="it-IT"/>
            <w14:ligatures w14:val="none"/>
          </w:rPr>
          <w:t>Decreto Ministeriale 66/23</w:t>
        </w:r>
      </w:hyperlink>
      <w:r w:rsidRPr="00961136">
        <w:rPr>
          <w:rFonts w:ascii="Arial" w:eastAsia="Times New Roman" w:hAnsi="Arial" w:cs="Arial"/>
          <w:color w:val="000000"/>
          <w:kern w:val="0"/>
          <w:sz w:val="21"/>
          <w:szCs w:val="21"/>
          <w:lang w:eastAsia="it-IT"/>
          <w14:ligatures w14:val="none"/>
        </w:rPr>
        <w:t> sono state ripartite le risorse relative alla linea di investimento 2.1 “</w:t>
      </w:r>
      <w:r w:rsidRPr="00961136">
        <w:rPr>
          <w:rFonts w:ascii="Arial" w:eastAsia="Times New Roman" w:hAnsi="Arial" w:cs="Arial"/>
          <w:i/>
          <w:iCs/>
          <w:color w:val="000000"/>
          <w:kern w:val="0"/>
          <w:sz w:val="21"/>
          <w:szCs w:val="21"/>
          <w:lang w:eastAsia="it-IT"/>
          <w14:ligatures w14:val="none"/>
        </w:rPr>
        <w:t>Didattica digitale integrata e formazione alla transizione digitale per il personale scolastico</w:t>
      </w:r>
      <w:r w:rsidRPr="00961136">
        <w:rPr>
          <w:rFonts w:ascii="Arial" w:eastAsia="Times New Roman" w:hAnsi="Arial" w:cs="Arial"/>
          <w:color w:val="000000"/>
          <w:kern w:val="0"/>
          <w:sz w:val="21"/>
          <w:szCs w:val="21"/>
          <w:lang w:eastAsia="it-IT"/>
          <w14:ligatures w14:val="none"/>
        </w:rPr>
        <w:t>”.</w:t>
      </w:r>
    </w:p>
    <w:p w14:paraId="094C5520"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In particolare </w:t>
      </w:r>
      <w:r w:rsidRPr="00961136">
        <w:rPr>
          <w:rFonts w:ascii="Arial" w:eastAsia="Times New Roman" w:hAnsi="Arial" w:cs="Arial"/>
          <w:b/>
          <w:bCs/>
          <w:color w:val="000000"/>
          <w:kern w:val="0"/>
          <w:sz w:val="21"/>
          <w:szCs w:val="21"/>
          <w:lang w:eastAsia="it-IT"/>
          <w14:ligatures w14:val="none"/>
        </w:rPr>
        <w:t>è stato ripartito l’importo pari 450 milioni di euro a favore di tutte le istituzioni scolastiche statali quali nodi formativi locali del sistema di formazione continua per la transizione digitale,</w:t>
      </w:r>
      <w:r w:rsidRPr="00961136">
        <w:rPr>
          <w:rFonts w:ascii="Arial" w:eastAsia="Times New Roman" w:hAnsi="Arial" w:cs="Arial"/>
          <w:color w:val="000000"/>
          <w:kern w:val="0"/>
          <w:sz w:val="21"/>
          <w:szCs w:val="21"/>
          <w:lang w:eastAsia="it-IT"/>
          <w14:ligatures w14:val="none"/>
        </w:rPr>
        <w:t> finalizzato alla </w:t>
      </w:r>
      <w:r w:rsidRPr="00961136">
        <w:rPr>
          <w:rFonts w:ascii="Arial" w:eastAsia="Times New Roman" w:hAnsi="Arial" w:cs="Arial"/>
          <w:b/>
          <w:bCs/>
          <w:color w:val="000000"/>
          <w:kern w:val="0"/>
          <w:sz w:val="21"/>
          <w:szCs w:val="21"/>
          <w:lang w:eastAsia="it-IT"/>
          <w14:ligatures w14:val="none"/>
        </w:rPr>
        <w:t>realizzazione di percorsi formativi</w:t>
      </w:r>
      <w:r w:rsidRPr="00961136">
        <w:rPr>
          <w:rFonts w:ascii="Arial" w:eastAsia="Times New Roman" w:hAnsi="Arial" w:cs="Arial"/>
          <w:color w:val="000000"/>
          <w:kern w:val="0"/>
          <w:sz w:val="21"/>
          <w:szCs w:val="21"/>
          <w:lang w:eastAsia="it-IT"/>
          <w14:ligatures w14:val="none"/>
        </w:rPr>
        <w:t xml:space="preserve"> per il personale scolastico (dirigenti scolastici, direttori dei servizi generali e amministrativi, personale ATA, docenti, personale educativo) sulla transizione digitale nella didattica e nell’organizzazione scolastica, in coerenza con i quadri di riferimento europei per le competenze digitali </w:t>
      </w:r>
      <w:proofErr w:type="spellStart"/>
      <w:r w:rsidRPr="00961136">
        <w:rPr>
          <w:rFonts w:ascii="Arial" w:eastAsia="Times New Roman" w:hAnsi="Arial" w:cs="Arial"/>
          <w:color w:val="000000"/>
          <w:kern w:val="0"/>
          <w:sz w:val="21"/>
          <w:szCs w:val="21"/>
          <w:lang w:eastAsia="it-IT"/>
          <w14:ligatures w14:val="none"/>
        </w:rPr>
        <w:t>DigComp</w:t>
      </w:r>
      <w:proofErr w:type="spellEnd"/>
      <w:r w:rsidRPr="00961136">
        <w:rPr>
          <w:rFonts w:ascii="Arial" w:eastAsia="Times New Roman" w:hAnsi="Arial" w:cs="Arial"/>
          <w:color w:val="000000"/>
          <w:kern w:val="0"/>
          <w:sz w:val="21"/>
          <w:szCs w:val="21"/>
          <w:lang w:eastAsia="it-IT"/>
          <w14:ligatures w14:val="none"/>
        </w:rPr>
        <w:t xml:space="preserve"> 2.2 e </w:t>
      </w:r>
      <w:proofErr w:type="spellStart"/>
      <w:r w:rsidRPr="00961136">
        <w:rPr>
          <w:rFonts w:ascii="Arial" w:eastAsia="Times New Roman" w:hAnsi="Arial" w:cs="Arial"/>
          <w:color w:val="000000"/>
          <w:kern w:val="0"/>
          <w:sz w:val="21"/>
          <w:szCs w:val="21"/>
          <w:lang w:eastAsia="it-IT"/>
          <w14:ligatures w14:val="none"/>
        </w:rPr>
        <w:t>DigCompEdu</w:t>
      </w:r>
      <w:proofErr w:type="spellEnd"/>
      <w:r w:rsidRPr="00961136">
        <w:rPr>
          <w:rFonts w:ascii="Arial" w:eastAsia="Times New Roman" w:hAnsi="Arial" w:cs="Arial"/>
          <w:color w:val="000000"/>
          <w:kern w:val="0"/>
          <w:sz w:val="21"/>
          <w:szCs w:val="21"/>
          <w:lang w:eastAsia="it-IT"/>
          <w14:ligatures w14:val="none"/>
        </w:rPr>
        <w:t>.</w:t>
      </w:r>
    </w:p>
    <w:p w14:paraId="506A6CB0"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Come è noto l’investimento si articola in due misure:</w:t>
      </w:r>
    </w:p>
    <w:p w14:paraId="1DD88165" w14:textId="77777777" w:rsidR="00961136" w:rsidRPr="00961136" w:rsidRDefault="00961136" w:rsidP="00961136">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La </w:t>
      </w:r>
      <w:r w:rsidRPr="00961136">
        <w:rPr>
          <w:rFonts w:ascii="Arial" w:eastAsia="Times New Roman" w:hAnsi="Arial" w:cs="Arial"/>
          <w:b/>
          <w:bCs/>
          <w:color w:val="000000"/>
          <w:kern w:val="0"/>
          <w:sz w:val="21"/>
          <w:szCs w:val="21"/>
          <w:lang w:eastAsia="it-IT"/>
          <w14:ligatures w14:val="none"/>
        </w:rPr>
        <w:t>creazione di un sistema multidimensionale e strategico di formazione continua</w:t>
      </w:r>
      <w:r w:rsidRPr="00961136">
        <w:rPr>
          <w:rFonts w:ascii="Arial" w:eastAsia="Times New Roman" w:hAnsi="Arial" w:cs="Arial"/>
          <w:color w:val="000000"/>
          <w:kern w:val="0"/>
          <w:sz w:val="21"/>
          <w:szCs w:val="21"/>
          <w:lang w:eastAsia="it-IT"/>
          <w14:ligatures w14:val="none"/>
        </w:rPr>
        <w:t> degli insegnanti e del personale scolastico per la transizione digitale, che include</w:t>
      </w:r>
    </w:p>
    <w:p w14:paraId="15E8B0EC" w14:textId="77777777" w:rsidR="00961136" w:rsidRPr="00961136" w:rsidRDefault="00961136" w:rsidP="00961136">
      <w:pPr>
        <w:numPr>
          <w:ilvl w:val="0"/>
          <w:numId w:val="8"/>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lo sviluppo di un </w:t>
      </w:r>
      <w:r w:rsidRPr="00961136">
        <w:rPr>
          <w:rFonts w:ascii="Arial" w:eastAsia="Times New Roman" w:hAnsi="Arial" w:cs="Arial"/>
          <w:b/>
          <w:bCs/>
          <w:color w:val="000000"/>
          <w:kern w:val="0"/>
          <w:sz w:val="23"/>
          <w:szCs w:val="23"/>
          <w:lang w:eastAsia="it-IT"/>
          <w14:ligatures w14:val="none"/>
        </w:rPr>
        <w:t>polo nazionale italiano</w:t>
      </w:r>
      <w:r w:rsidRPr="00961136">
        <w:rPr>
          <w:rFonts w:ascii="Arial" w:eastAsia="Times New Roman" w:hAnsi="Arial" w:cs="Arial"/>
          <w:color w:val="000000"/>
          <w:kern w:val="0"/>
          <w:sz w:val="23"/>
          <w:szCs w:val="23"/>
          <w:lang w:eastAsia="it-IT"/>
          <w14:ligatures w14:val="none"/>
        </w:rPr>
        <w:t> sulla formazione digitale per la formazione dei docenti e del personale scolastico</w:t>
      </w:r>
    </w:p>
    <w:p w14:paraId="1AD80E2D" w14:textId="77777777" w:rsidR="00961136" w:rsidRPr="00961136" w:rsidRDefault="00961136" w:rsidP="00961136">
      <w:pPr>
        <w:numPr>
          <w:ilvl w:val="0"/>
          <w:numId w:val="8"/>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la creazione di </w:t>
      </w:r>
      <w:r w:rsidRPr="00961136">
        <w:rPr>
          <w:rFonts w:ascii="Arial" w:eastAsia="Times New Roman" w:hAnsi="Arial" w:cs="Arial"/>
          <w:b/>
          <w:bCs/>
          <w:color w:val="000000"/>
          <w:kern w:val="0"/>
          <w:sz w:val="23"/>
          <w:szCs w:val="23"/>
          <w:lang w:eastAsia="it-IT"/>
          <w14:ligatures w14:val="none"/>
        </w:rPr>
        <w:t>poli formativi territoriali</w:t>
      </w:r>
    </w:p>
    <w:p w14:paraId="6DA48FEA" w14:textId="77777777" w:rsidR="00961136" w:rsidRPr="00961136" w:rsidRDefault="00961136" w:rsidP="00961136">
      <w:pPr>
        <w:numPr>
          <w:ilvl w:val="0"/>
          <w:numId w:val="8"/>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l’individuazione di tutte le scuole quali </w:t>
      </w:r>
      <w:r w:rsidRPr="00961136">
        <w:rPr>
          <w:rFonts w:ascii="Arial" w:eastAsia="Times New Roman" w:hAnsi="Arial" w:cs="Arial"/>
          <w:b/>
          <w:bCs/>
          <w:color w:val="000000"/>
          <w:kern w:val="0"/>
          <w:sz w:val="23"/>
          <w:szCs w:val="23"/>
          <w:lang w:eastAsia="it-IT"/>
          <w14:ligatures w14:val="none"/>
        </w:rPr>
        <w:t>snodi formativi locali</w:t>
      </w:r>
    </w:p>
    <w:p w14:paraId="5D31ED5B" w14:textId="77777777" w:rsidR="00961136" w:rsidRPr="00961136" w:rsidRDefault="00961136" w:rsidP="00961136">
      <w:pPr>
        <w:numPr>
          <w:ilvl w:val="0"/>
          <w:numId w:val="9"/>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L'adozione di un </w:t>
      </w:r>
      <w:r w:rsidRPr="00961136">
        <w:rPr>
          <w:rFonts w:ascii="Arial" w:eastAsia="Times New Roman" w:hAnsi="Arial" w:cs="Arial"/>
          <w:b/>
          <w:bCs/>
          <w:color w:val="000000"/>
          <w:kern w:val="0"/>
          <w:sz w:val="21"/>
          <w:szCs w:val="21"/>
          <w:lang w:eastAsia="it-IT"/>
          <w14:ligatures w14:val="none"/>
        </w:rPr>
        <w:t>quadro di riferimento nazionale per l'insegnamento digitale integrato</w:t>
      </w:r>
      <w:r w:rsidRPr="00961136">
        <w:rPr>
          <w:rFonts w:ascii="Arial" w:eastAsia="Times New Roman" w:hAnsi="Arial" w:cs="Arial"/>
          <w:color w:val="000000"/>
          <w:kern w:val="0"/>
          <w:sz w:val="21"/>
          <w:szCs w:val="21"/>
          <w:lang w:eastAsia="it-IT"/>
          <w14:ligatures w14:val="none"/>
        </w:rPr>
        <w:t>, al fine di promuovere l'adozione di curricula di competenze digitali in tutte le scuole.</w:t>
      </w:r>
    </w:p>
    <w:p w14:paraId="5F6BA4E2"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Le istruzioni operative prevedono le seguenti </w:t>
      </w:r>
      <w:r w:rsidRPr="00961136">
        <w:rPr>
          <w:rFonts w:ascii="Arial" w:eastAsia="Times New Roman" w:hAnsi="Arial" w:cs="Arial"/>
          <w:b/>
          <w:bCs/>
          <w:color w:val="000000"/>
          <w:kern w:val="0"/>
          <w:sz w:val="21"/>
          <w:szCs w:val="21"/>
          <w:lang w:eastAsia="it-IT"/>
          <w14:ligatures w14:val="none"/>
        </w:rPr>
        <w:t>tre tipologie di attività</w:t>
      </w:r>
      <w:r w:rsidRPr="00961136">
        <w:rPr>
          <w:rFonts w:ascii="Arial" w:eastAsia="Times New Roman" w:hAnsi="Arial" w:cs="Arial"/>
          <w:color w:val="000000"/>
          <w:kern w:val="0"/>
          <w:sz w:val="21"/>
          <w:szCs w:val="21"/>
          <w:lang w:eastAsia="it-IT"/>
          <w14:ligatures w14:val="none"/>
        </w:rPr>
        <w:t>:</w:t>
      </w:r>
    </w:p>
    <w:p w14:paraId="3FA1505D" w14:textId="77777777" w:rsidR="00961136" w:rsidRPr="00961136" w:rsidRDefault="00961136" w:rsidP="00961136">
      <w:pPr>
        <w:numPr>
          <w:ilvl w:val="0"/>
          <w:numId w:val="10"/>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percorsi sulla </w:t>
      </w:r>
      <w:r w:rsidRPr="00961136">
        <w:rPr>
          <w:rFonts w:ascii="Arial" w:eastAsia="Times New Roman" w:hAnsi="Arial" w:cs="Arial"/>
          <w:b/>
          <w:bCs/>
          <w:color w:val="000000"/>
          <w:kern w:val="0"/>
          <w:sz w:val="23"/>
          <w:szCs w:val="23"/>
          <w:lang w:eastAsia="it-IT"/>
          <w14:ligatures w14:val="none"/>
        </w:rPr>
        <w:t>transizione digitale</w:t>
      </w:r>
      <w:r w:rsidRPr="00961136">
        <w:rPr>
          <w:rFonts w:ascii="Arial" w:eastAsia="Times New Roman" w:hAnsi="Arial" w:cs="Arial"/>
          <w:color w:val="000000"/>
          <w:kern w:val="0"/>
          <w:sz w:val="23"/>
          <w:szCs w:val="23"/>
          <w:lang w:eastAsia="it-IT"/>
          <w14:ligatures w14:val="none"/>
        </w:rPr>
        <w:t>;</w:t>
      </w:r>
    </w:p>
    <w:p w14:paraId="2A94C698" w14:textId="77777777" w:rsidR="00961136" w:rsidRPr="00961136" w:rsidRDefault="00961136" w:rsidP="00961136">
      <w:pPr>
        <w:numPr>
          <w:ilvl w:val="0"/>
          <w:numId w:val="10"/>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b/>
          <w:bCs/>
          <w:color w:val="000000"/>
          <w:kern w:val="0"/>
          <w:sz w:val="23"/>
          <w:szCs w:val="23"/>
          <w:lang w:eastAsia="it-IT"/>
          <w14:ligatures w14:val="none"/>
        </w:rPr>
        <w:t>laboratori di formazione sul campo</w:t>
      </w:r>
      <w:r w:rsidRPr="00961136">
        <w:rPr>
          <w:rFonts w:ascii="Arial" w:eastAsia="Times New Roman" w:hAnsi="Arial" w:cs="Arial"/>
          <w:color w:val="000000"/>
          <w:kern w:val="0"/>
          <w:sz w:val="23"/>
          <w:szCs w:val="23"/>
          <w:lang w:eastAsia="it-IT"/>
          <w14:ligatures w14:val="none"/>
        </w:rPr>
        <w:t> anche in collegamento con l’investimento Scuola 4.0;</w:t>
      </w:r>
    </w:p>
    <w:p w14:paraId="289381A6" w14:textId="77777777" w:rsidR="00961136" w:rsidRPr="00961136" w:rsidRDefault="00961136" w:rsidP="00961136">
      <w:pPr>
        <w:numPr>
          <w:ilvl w:val="0"/>
          <w:numId w:val="10"/>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la </w:t>
      </w:r>
      <w:r w:rsidRPr="00961136">
        <w:rPr>
          <w:rFonts w:ascii="Arial" w:eastAsia="Times New Roman" w:hAnsi="Arial" w:cs="Arial"/>
          <w:b/>
          <w:bCs/>
          <w:color w:val="000000"/>
          <w:kern w:val="0"/>
          <w:sz w:val="23"/>
          <w:szCs w:val="23"/>
          <w:lang w:eastAsia="it-IT"/>
          <w14:ligatures w14:val="none"/>
        </w:rPr>
        <w:t>crescita di comunità di pratica</w:t>
      </w:r>
      <w:r w:rsidRPr="00961136">
        <w:rPr>
          <w:rFonts w:ascii="Arial" w:eastAsia="Times New Roman" w:hAnsi="Arial" w:cs="Arial"/>
          <w:color w:val="000000"/>
          <w:kern w:val="0"/>
          <w:sz w:val="23"/>
          <w:szCs w:val="23"/>
          <w:lang w:eastAsia="it-IT"/>
          <w14:ligatures w14:val="none"/>
        </w:rPr>
        <w:t> di innovazione didattica e digitale, attraverso l'attivazione di percorsi di formazione diffusa e intergenerazionale per docenti, studenti, adulti.</w:t>
      </w:r>
    </w:p>
    <w:p w14:paraId="3DE17B45"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Anche in questo è previsto l’utilizzo dei </w:t>
      </w:r>
      <w:r w:rsidRPr="00961136">
        <w:rPr>
          <w:rFonts w:ascii="Arial" w:eastAsia="Times New Roman" w:hAnsi="Arial" w:cs="Arial"/>
          <w:b/>
          <w:bCs/>
          <w:color w:val="000000"/>
          <w:kern w:val="0"/>
          <w:sz w:val="21"/>
          <w:szCs w:val="21"/>
          <w:lang w:eastAsia="it-IT"/>
          <w14:ligatures w14:val="none"/>
        </w:rPr>
        <w:t>costi standard</w:t>
      </w:r>
      <w:r w:rsidRPr="00961136">
        <w:rPr>
          <w:rFonts w:ascii="Arial" w:eastAsia="Times New Roman" w:hAnsi="Arial" w:cs="Arial"/>
          <w:color w:val="000000"/>
          <w:kern w:val="0"/>
          <w:sz w:val="21"/>
          <w:szCs w:val="21"/>
          <w:lang w:eastAsia="it-IT"/>
          <w14:ligatures w14:val="none"/>
        </w:rPr>
        <w:t>: € 122 per i formatori dei percorsi sulla transizione digitale, € 34 per i tutor dei laboratori di formazione, € 34 per le comunità di pratiche.</w:t>
      </w:r>
    </w:p>
    <w:p w14:paraId="0E42E83A" w14:textId="77777777" w:rsidR="00961136" w:rsidRPr="00961136" w:rsidRDefault="00961136" w:rsidP="00961136">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961136">
        <w:rPr>
          <w:rFonts w:ascii="Arial" w:eastAsia="Times New Roman" w:hAnsi="Arial" w:cs="Arial"/>
          <w:b/>
          <w:bCs/>
          <w:color w:val="535353"/>
          <w:kern w:val="0"/>
          <w:sz w:val="27"/>
          <w:szCs w:val="27"/>
          <w:lang w:eastAsia="it-IT"/>
          <w14:ligatures w14:val="none"/>
        </w:rPr>
        <w:t>Investimenti relativi ai CPIA</w:t>
      </w:r>
    </w:p>
    <w:p w14:paraId="37D3AA99"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Nell’ambito dei cosiddetti “progetti in essere”, il </w:t>
      </w:r>
      <w:hyperlink r:id="rId8" w:tgtFrame="_blank" w:history="1">
        <w:r w:rsidRPr="00961136">
          <w:rPr>
            <w:rFonts w:ascii="Arial" w:eastAsia="Times New Roman" w:hAnsi="Arial" w:cs="Arial"/>
            <w:color w:val="005EB3"/>
            <w:kern w:val="0"/>
            <w:sz w:val="21"/>
            <w:szCs w:val="21"/>
            <w:lang w:eastAsia="it-IT"/>
            <w14:ligatures w14:val="none"/>
          </w:rPr>
          <w:t>decreto ministeriale 222 dell’11 agosto 2022</w:t>
        </w:r>
      </w:hyperlink>
      <w:r w:rsidRPr="00961136">
        <w:rPr>
          <w:rFonts w:ascii="Arial" w:eastAsia="Times New Roman" w:hAnsi="Arial" w:cs="Arial"/>
          <w:color w:val="000000"/>
          <w:kern w:val="0"/>
          <w:sz w:val="21"/>
          <w:szCs w:val="21"/>
          <w:lang w:eastAsia="it-IT"/>
          <w14:ligatures w14:val="none"/>
        </w:rPr>
        <w:t> destina </w:t>
      </w:r>
      <w:r w:rsidRPr="00961136">
        <w:rPr>
          <w:rFonts w:ascii="Arial" w:eastAsia="Times New Roman" w:hAnsi="Arial" w:cs="Arial"/>
          <w:b/>
          <w:bCs/>
          <w:color w:val="000000"/>
          <w:kern w:val="0"/>
          <w:sz w:val="21"/>
          <w:szCs w:val="21"/>
          <w:lang w:eastAsia="it-IT"/>
          <w14:ligatures w14:val="none"/>
        </w:rPr>
        <w:t>11,7 milioni di euro al fine di sviluppare gli ambienti di apprendimento innovativi negli spazi didattici appartenenti direttamente ai CPIA</w:t>
      </w:r>
      <w:r w:rsidRPr="00961136">
        <w:rPr>
          <w:rFonts w:ascii="Arial" w:eastAsia="Times New Roman" w:hAnsi="Arial" w:cs="Arial"/>
          <w:color w:val="000000"/>
          <w:kern w:val="0"/>
          <w:sz w:val="21"/>
          <w:szCs w:val="21"/>
          <w:lang w:eastAsia="it-IT"/>
          <w14:ligatures w14:val="none"/>
        </w:rPr>
        <w:t>, che non costituiscono oggetto di nuovi interventi nell’ambito delle risorse comunitarie del PNRR. Le risorse PNRR sostituiscono 3,008 milioni di euro dal “Fondo per l’innovazione digitale e la didattica laboratoriale” per il 2022 e per la restante cifra dallo stanziamento di bilancio del medesimo fondo relativo al 2023.</w:t>
      </w:r>
    </w:p>
    <w:p w14:paraId="4E448BE5"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br/>
      </w:r>
      <w:r w:rsidRPr="00961136">
        <w:rPr>
          <w:rFonts w:ascii="Arial" w:eastAsia="Times New Roman" w:hAnsi="Arial" w:cs="Arial"/>
          <w:b/>
          <w:bCs/>
          <w:color w:val="000000"/>
          <w:kern w:val="0"/>
          <w:sz w:val="21"/>
          <w:szCs w:val="21"/>
          <w:lang w:eastAsia="it-IT"/>
          <w14:ligatures w14:val="none"/>
        </w:rPr>
        <w:t>I fondi saranno sono utilizzati per il finanziamento di interventi </w:t>
      </w:r>
      <w:r w:rsidRPr="00961136">
        <w:rPr>
          <w:rFonts w:ascii="Arial" w:eastAsia="Times New Roman" w:hAnsi="Arial" w:cs="Arial"/>
          <w:color w:val="000000"/>
          <w:kern w:val="0"/>
          <w:sz w:val="21"/>
          <w:szCs w:val="21"/>
          <w:lang w:eastAsia="it-IT"/>
          <w14:ligatures w14:val="none"/>
        </w:rPr>
        <w:t>relativi all’investimento 3.2 “</w:t>
      </w:r>
      <w:r w:rsidRPr="00961136">
        <w:rPr>
          <w:rFonts w:ascii="Arial" w:eastAsia="Times New Roman" w:hAnsi="Arial" w:cs="Arial"/>
          <w:i/>
          <w:iCs/>
          <w:color w:val="000000"/>
          <w:kern w:val="0"/>
          <w:sz w:val="21"/>
          <w:szCs w:val="21"/>
          <w:lang w:eastAsia="it-IT"/>
          <w14:ligatures w14:val="none"/>
        </w:rPr>
        <w:t>Scuola 4.0: scuole innovative, cablaggio, nuovi ambienti di apprendimento e laboratori</w:t>
      </w:r>
      <w:r w:rsidRPr="00961136">
        <w:rPr>
          <w:rFonts w:ascii="Arial" w:eastAsia="Times New Roman" w:hAnsi="Arial" w:cs="Arial"/>
          <w:color w:val="000000"/>
          <w:kern w:val="0"/>
          <w:sz w:val="21"/>
          <w:szCs w:val="21"/>
          <w:lang w:eastAsia="it-IT"/>
          <w14:ligatures w14:val="none"/>
        </w:rPr>
        <w:t>” della Missione 4 – Istruzione e Ricerca – Componente 1 – Potenziamento dell’offerta dei servizi di istruzione: dagli asili nido alle Università – del PNRR e del Piano “Scuola 4.0” e </w:t>
      </w:r>
      <w:r w:rsidRPr="00961136">
        <w:rPr>
          <w:rFonts w:ascii="Arial" w:eastAsia="Times New Roman" w:hAnsi="Arial" w:cs="Arial"/>
          <w:b/>
          <w:bCs/>
          <w:color w:val="000000"/>
          <w:kern w:val="0"/>
          <w:sz w:val="21"/>
          <w:szCs w:val="21"/>
          <w:lang w:eastAsia="it-IT"/>
          <w14:ligatures w14:val="none"/>
        </w:rPr>
        <w:t>concorrono al raggiungimento di </w:t>
      </w:r>
      <w:r w:rsidRPr="00961136">
        <w:rPr>
          <w:rFonts w:ascii="Arial" w:eastAsia="Times New Roman" w:hAnsi="Arial" w:cs="Arial"/>
          <w:b/>
          <w:bCs/>
          <w:i/>
          <w:iCs/>
          <w:color w:val="000000"/>
          <w:kern w:val="0"/>
          <w:sz w:val="21"/>
          <w:szCs w:val="21"/>
          <w:lang w:eastAsia="it-IT"/>
          <w14:ligatures w14:val="none"/>
        </w:rPr>
        <w:t>target</w:t>
      </w:r>
      <w:r w:rsidRPr="00961136">
        <w:rPr>
          <w:rFonts w:ascii="Arial" w:eastAsia="Times New Roman" w:hAnsi="Arial" w:cs="Arial"/>
          <w:b/>
          <w:bCs/>
          <w:color w:val="000000"/>
          <w:kern w:val="0"/>
          <w:sz w:val="21"/>
          <w:szCs w:val="21"/>
          <w:lang w:eastAsia="it-IT"/>
          <w14:ligatures w14:val="none"/>
        </w:rPr>
        <w:t> e </w:t>
      </w:r>
      <w:r w:rsidRPr="00961136">
        <w:rPr>
          <w:rFonts w:ascii="Arial" w:eastAsia="Times New Roman" w:hAnsi="Arial" w:cs="Arial"/>
          <w:b/>
          <w:bCs/>
          <w:i/>
          <w:iCs/>
          <w:color w:val="000000"/>
          <w:kern w:val="0"/>
          <w:sz w:val="21"/>
          <w:szCs w:val="21"/>
          <w:lang w:eastAsia="it-IT"/>
          <w14:ligatures w14:val="none"/>
        </w:rPr>
        <w:t>milestone</w:t>
      </w:r>
      <w:r w:rsidRPr="00961136">
        <w:rPr>
          <w:rFonts w:ascii="Arial" w:eastAsia="Times New Roman" w:hAnsi="Arial" w:cs="Arial"/>
          <w:b/>
          <w:bCs/>
          <w:color w:val="000000"/>
          <w:kern w:val="0"/>
          <w:sz w:val="21"/>
          <w:szCs w:val="21"/>
          <w:lang w:eastAsia="it-IT"/>
          <w14:ligatures w14:val="none"/>
        </w:rPr>
        <w:t> del PNRR.</w:t>
      </w:r>
    </w:p>
    <w:p w14:paraId="36B7A1A4"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Le istruzioni operativi fanno riferimento anche a queste risorse, chiarendo che </w:t>
      </w:r>
      <w:r w:rsidRPr="00961136">
        <w:rPr>
          <w:rFonts w:ascii="Arial" w:eastAsia="Times New Roman" w:hAnsi="Arial" w:cs="Arial"/>
          <w:b/>
          <w:bCs/>
          <w:color w:val="000000"/>
          <w:kern w:val="0"/>
          <w:sz w:val="21"/>
          <w:szCs w:val="21"/>
          <w:lang w:eastAsia="it-IT"/>
          <w14:ligatures w14:val="none"/>
        </w:rPr>
        <w:t>gli ambienti finanziabili sono quelli anche non di proprietà del CPIA</w:t>
      </w:r>
      <w:r w:rsidRPr="00961136">
        <w:rPr>
          <w:rFonts w:ascii="Arial" w:eastAsia="Times New Roman" w:hAnsi="Arial" w:cs="Arial"/>
          <w:color w:val="000000"/>
          <w:kern w:val="0"/>
          <w:sz w:val="21"/>
          <w:szCs w:val="21"/>
          <w:lang w:eastAsia="it-IT"/>
          <w14:ligatures w14:val="none"/>
        </w:rPr>
        <w:t>, ma utilizzati da questi ultimi, a condizione </w:t>
      </w:r>
      <w:r w:rsidRPr="00961136">
        <w:rPr>
          <w:rFonts w:ascii="Arial" w:eastAsia="Times New Roman" w:hAnsi="Arial" w:cs="Arial"/>
          <w:b/>
          <w:bCs/>
          <w:color w:val="000000"/>
          <w:kern w:val="0"/>
          <w:sz w:val="21"/>
          <w:szCs w:val="21"/>
          <w:lang w:eastAsia="it-IT"/>
          <w14:ligatures w14:val="none"/>
        </w:rPr>
        <w:t>che non siano stati oggetto di altri finanziamenti.</w:t>
      </w:r>
    </w:p>
    <w:p w14:paraId="3DC0D510" w14:textId="77777777" w:rsidR="00961136" w:rsidRPr="00961136" w:rsidRDefault="00961136" w:rsidP="00961136">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961136">
        <w:rPr>
          <w:rFonts w:ascii="Arial" w:eastAsia="Times New Roman" w:hAnsi="Arial" w:cs="Arial"/>
          <w:b/>
          <w:bCs/>
          <w:color w:val="535353"/>
          <w:kern w:val="0"/>
          <w:sz w:val="27"/>
          <w:szCs w:val="27"/>
          <w:lang w:eastAsia="it-IT"/>
          <w14:ligatures w14:val="none"/>
        </w:rPr>
        <w:t>La posizione della FLC CGIL</w:t>
      </w:r>
    </w:p>
    <w:p w14:paraId="29BAA167"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lastRenderedPageBreak/>
        <w:t>Innanzitutto abbiamo segnalato come sia </w:t>
      </w:r>
      <w:r w:rsidRPr="00961136">
        <w:rPr>
          <w:rFonts w:ascii="Arial" w:eastAsia="Times New Roman" w:hAnsi="Arial" w:cs="Arial"/>
          <w:b/>
          <w:bCs/>
          <w:color w:val="000000"/>
          <w:kern w:val="0"/>
          <w:sz w:val="21"/>
          <w:szCs w:val="21"/>
          <w:lang w:eastAsia="it-IT"/>
          <w14:ligatures w14:val="none"/>
        </w:rPr>
        <w:t>diventata una consuetudine quella di effettuare le informative senza ricevere alcuna documentazione.</w:t>
      </w:r>
      <w:r w:rsidRPr="00961136">
        <w:rPr>
          <w:rFonts w:ascii="Arial" w:eastAsia="Times New Roman" w:hAnsi="Arial" w:cs="Arial"/>
          <w:color w:val="000000"/>
          <w:kern w:val="0"/>
          <w:sz w:val="21"/>
          <w:szCs w:val="21"/>
          <w:lang w:eastAsia="it-IT"/>
          <w14:ligatures w14:val="none"/>
        </w:rPr>
        <w:t> Ciò impedisce di poter avanzare </w:t>
      </w:r>
      <w:r w:rsidRPr="00961136">
        <w:rPr>
          <w:rFonts w:ascii="Arial" w:eastAsia="Times New Roman" w:hAnsi="Arial" w:cs="Arial"/>
          <w:b/>
          <w:bCs/>
          <w:color w:val="000000"/>
          <w:kern w:val="0"/>
          <w:sz w:val="21"/>
          <w:szCs w:val="21"/>
          <w:lang w:eastAsia="it-IT"/>
          <w14:ligatures w14:val="none"/>
        </w:rPr>
        <w:t>proposte finalizzate alla modifica degli atti normativi</w:t>
      </w:r>
      <w:r w:rsidRPr="00961136">
        <w:rPr>
          <w:rFonts w:ascii="Arial" w:eastAsia="Times New Roman" w:hAnsi="Arial" w:cs="Arial"/>
          <w:color w:val="000000"/>
          <w:kern w:val="0"/>
          <w:sz w:val="21"/>
          <w:szCs w:val="21"/>
          <w:lang w:eastAsia="it-IT"/>
          <w14:ligatures w14:val="none"/>
        </w:rPr>
        <w:t> in via di elaborazione e a fornire una collaborazione attiva su processi complessi come le misure previste dal PNRR.</w:t>
      </w:r>
    </w:p>
    <w:p w14:paraId="77CEB70B"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Abbiamo evidenziato come </w:t>
      </w:r>
      <w:r w:rsidRPr="00961136">
        <w:rPr>
          <w:rFonts w:ascii="Arial" w:eastAsia="Times New Roman" w:hAnsi="Arial" w:cs="Arial"/>
          <w:b/>
          <w:bCs/>
          <w:color w:val="000000"/>
          <w:kern w:val="0"/>
          <w:sz w:val="21"/>
          <w:szCs w:val="21"/>
          <w:lang w:eastAsia="it-IT"/>
          <w14:ligatures w14:val="none"/>
        </w:rPr>
        <w:t>le istruzioni operative siano state pubblicate dopo quasi 6 mesi dall’adozione dei decreti ministerial</w:t>
      </w:r>
      <w:r w:rsidRPr="00961136">
        <w:rPr>
          <w:rFonts w:ascii="Arial" w:eastAsia="Times New Roman" w:hAnsi="Arial" w:cs="Arial"/>
          <w:color w:val="000000"/>
          <w:kern w:val="0"/>
          <w:sz w:val="21"/>
          <w:szCs w:val="21"/>
          <w:lang w:eastAsia="it-IT"/>
          <w14:ligatures w14:val="none"/>
        </w:rPr>
        <w:t>i con una pesante compressione dei tempi di dei tempi di progettazione e gestione delle azioni che le scuole sono chiamate a realizzare. Inoltre il </w:t>
      </w:r>
      <w:r w:rsidRPr="00961136">
        <w:rPr>
          <w:rFonts w:ascii="Arial" w:eastAsia="Times New Roman" w:hAnsi="Arial" w:cs="Arial"/>
          <w:b/>
          <w:bCs/>
          <w:color w:val="000000"/>
          <w:kern w:val="0"/>
          <w:sz w:val="21"/>
          <w:szCs w:val="21"/>
          <w:lang w:eastAsia="it-IT"/>
          <w14:ligatures w14:val="none"/>
        </w:rPr>
        <w:t>meccanismo dell’accordo di concessione</w:t>
      </w:r>
      <w:r w:rsidRPr="00961136">
        <w:rPr>
          <w:rFonts w:ascii="Arial" w:eastAsia="Times New Roman" w:hAnsi="Arial" w:cs="Arial"/>
          <w:color w:val="000000"/>
          <w:kern w:val="0"/>
          <w:sz w:val="21"/>
          <w:szCs w:val="21"/>
          <w:lang w:eastAsia="it-IT"/>
          <w14:ligatures w14:val="none"/>
        </w:rPr>
        <w:t>, </w:t>
      </w:r>
      <w:r w:rsidRPr="00961136">
        <w:rPr>
          <w:rFonts w:ascii="Arial" w:eastAsia="Times New Roman" w:hAnsi="Arial" w:cs="Arial"/>
          <w:b/>
          <w:bCs/>
          <w:color w:val="000000"/>
          <w:kern w:val="0"/>
          <w:sz w:val="21"/>
          <w:szCs w:val="21"/>
          <w:lang w:eastAsia="it-IT"/>
          <w14:ligatures w14:val="none"/>
        </w:rPr>
        <w:t>scarica enormi responsabilità</w:t>
      </w:r>
      <w:r w:rsidRPr="00961136">
        <w:rPr>
          <w:rFonts w:ascii="Arial" w:eastAsia="Times New Roman" w:hAnsi="Arial" w:cs="Arial"/>
          <w:color w:val="000000"/>
          <w:kern w:val="0"/>
          <w:sz w:val="21"/>
          <w:szCs w:val="21"/>
          <w:lang w:eastAsia="it-IT"/>
          <w14:ligatures w14:val="none"/>
        </w:rPr>
        <w:t> </w:t>
      </w:r>
      <w:r w:rsidRPr="00961136">
        <w:rPr>
          <w:rFonts w:ascii="Arial" w:eastAsia="Times New Roman" w:hAnsi="Arial" w:cs="Arial"/>
          <w:b/>
          <w:bCs/>
          <w:color w:val="000000"/>
          <w:kern w:val="0"/>
          <w:sz w:val="21"/>
          <w:szCs w:val="21"/>
          <w:lang w:eastAsia="it-IT"/>
          <w14:ligatures w14:val="none"/>
        </w:rPr>
        <w:t>sulle scuole</w:t>
      </w:r>
      <w:r w:rsidRPr="00961136">
        <w:rPr>
          <w:rFonts w:ascii="Arial" w:eastAsia="Times New Roman" w:hAnsi="Arial" w:cs="Arial"/>
          <w:color w:val="000000"/>
          <w:kern w:val="0"/>
          <w:sz w:val="21"/>
          <w:szCs w:val="21"/>
          <w:lang w:eastAsia="it-IT"/>
          <w14:ligatures w14:val="none"/>
        </w:rPr>
        <w:t> in qualità di </w:t>
      </w:r>
      <w:r w:rsidRPr="00961136">
        <w:rPr>
          <w:rFonts w:ascii="Arial" w:eastAsia="Times New Roman" w:hAnsi="Arial" w:cs="Arial"/>
          <w:b/>
          <w:bCs/>
          <w:color w:val="000000"/>
          <w:kern w:val="0"/>
          <w:sz w:val="21"/>
          <w:szCs w:val="21"/>
          <w:lang w:eastAsia="it-IT"/>
          <w14:ligatures w14:val="none"/>
        </w:rPr>
        <w:t>soggetti attuatori</w:t>
      </w:r>
      <w:r w:rsidRPr="00961136">
        <w:rPr>
          <w:rFonts w:ascii="Arial" w:eastAsia="Times New Roman" w:hAnsi="Arial" w:cs="Arial"/>
          <w:color w:val="000000"/>
          <w:kern w:val="0"/>
          <w:sz w:val="21"/>
          <w:szCs w:val="21"/>
          <w:lang w:eastAsia="it-IT"/>
          <w14:ligatures w14:val="none"/>
        </w:rPr>
        <w:t> degli interventi. </w:t>
      </w:r>
      <w:r w:rsidRPr="00961136">
        <w:rPr>
          <w:rFonts w:ascii="Arial" w:eastAsia="Times New Roman" w:hAnsi="Arial" w:cs="Arial"/>
          <w:b/>
          <w:bCs/>
          <w:color w:val="000000"/>
          <w:kern w:val="0"/>
          <w:sz w:val="21"/>
          <w:szCs w:val="21"/>
          <w:lang w:eastAsia="it-IT"/>
          <w14:ligatures w14:val="none"/>
        </w:rPr>
        <w:t>L’efficacia e l’efficienza delle attività finanziate</w:t>
      </w:r>
      <w:r w:rsidRPr="00961136">
        <w:rPr>
          <w:rFonts w:ascii="Arial" w:eastAsia="Times New Roman" w:hAnsi="Arial" w:cs="Arial"/>
          <w:color w:val="000000"/>
          <w:kern w:val="0"/>
          <w:sz w:val="21"/>
          <w:szCs w:val="21"/>
          <w:lang w:eastAsia="it-IT"/>
          <w14:ligatures w14:val="none"/>
        </w:rPr>
        <w:t> e il coinvolgimento reale della comunità educante </w:t>
      </w:r>
      <w:r w:rsidRPr="00961136">
        <w:rPr>
          <w:rFonts w:ascii="Arial" w:eastAsia="Times New Roman" w:hAnsi="Arial" w:cs="Arial"/>
          <w:b/>
          <w:bCs/>
          <w:color w:val="000000"/>
          <w:kern w:val="0"/>
          <w:sz w:val="21"/>
          <w:szCs w:val="21"/>
          <w:lang w:eastAsia="it-IT"/>
          <w14:ligatures w14:val="none"/>
        </w:rPr>
        <w:t>non sono ad oggi, per i meccanismi attuati, fra le finalità principali dell’amministrazione</w:t>
      </w:r>
    </w:p>
    <w:p w14:paraId="50511DE7"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Abbiamo fatto presente che la necessità di spendere in un lasso di tempo breve una </w:t>
      </w:r>
      <w:r w:rsidRPr="00961136">
        <w:rPr>
          <w:rFonts w:ascii="Arial" w:eastAsia="Times New Roman" w:hAnsi="Arial" w:cs="Arial"/>
          <w:b/>
          <w:bCs/>
          <w:color w:val="000000"/>
          <w:kern w:val="0"/>
          <w:sz w:val="21"/>
          <w:szCs w:val="21"/>
          <w:lang w:eastAsia="it-IT"/>
          <w14:ligatures w14:val="none"/>
        </w:rPr>
        <w:t>quantità imponente di risorse</w:t>
      </w:r>
      <w:r w:rsidRPr="00961136">
        <w:rPr>
          <w:rFonts w:ascii="Arial" w:eastAsia="Times New Roman" w:hAnsi="Arial" w:cs="Arial"/>
          <w:color w:val="000000"/>
          <w:kern w:val="0"/>
          <w:sz w:val="21"/>
          <w:szCs w:val="21"/>
          <w:lang w:eastAsia="it-IT"/>
          <w14:ligatures w14:val="none"/>
        </w:rPr>
        <w:t> in mancanza di un’organica programmazione, fa ricadere sulle scuole, soprattutto quelle più in difficoltà per i più svariati motivi, </w:t>
      </w:r>
      <w:r w:rsidRPr="00961136">
        <w:rPr>
          <w:rFonts w:ascii="Arial" w:eastAsia="Times New Roman" w:hAnsi="Arial" w:cs="Arial"/>
          <w:b/>
          <w:bCs/>
          <w:color w:val="000000"/>
          <w:kern w:val="0"/>
          <w:sz w:val="21"/>
          <w:szCs w:val="21"/>
          <w:lang w:eastAsia="it-IT"/>
          <w14:ligatures w14:val="none"/>
        </w:rPr>
        <w:t>problematiche inestricabili</w:t>
      </w:r>
      <w:r w:rsidRPr="00961136">
        <w:rPr>
          <w:rFonts w:ascii="Arial" w:eastAsia="Times New Roman" w:hAnsi="Arial" w:cs="Arial"/>
          <w:color w:val="000000"/>
          <w:kern w:val="0"/>
          <w:sz w:val="21"/>
          <w:szCs w:val="21"/>
          <w:lang w:eastAsia="it-IT"/>
          <w14:ligatures w14:val="none"/>
        </w:rPr>
        <w:t> usando come copertura giustificativa l’abusata motivazione dell’autonomia scolastica.</w:t>
      </w:r>
    </w:p>
    <w:p w14:paraId="52F4F8F7"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Con particolare riferimento alla </w:t>
      </w:r>
      <w:r w:rsidRPr="00961136">
        <w:rPr>
          <w:rFonts w:ascii="Arial" w:eastAsia="Times New Roman" w:hAnsi="Arial" w:cs="Arial"/>
          <w:b/>
          <w:bCs/>
          <w:color w:val="000000"/>
          <w:kern w:val="0"/>
          <w:sz w:val="21"/>
          <w:szCs w:val="21"/>
          <w:lang w:eastAsia="it-IT"/>
          <w14:ligatures w14:val="none"/>
        </w:rPr>
        <w:t>formazione del personale</w:t>
      </w:r>
      <w:r w:rsidRPr="00961136">
        <w:rPr>
          <w:rFonts w:ascii="Arial" w:eastAsia="Times New Roman" w:hAnsi="Arial" w:cs="Arial"/>
          <w:color w:val="000000"/>
          <w:kern w:val="0"/>
          <w:sz w:val="21"/>
          <w:szCs w:val="21"/>
          <w:lang w:eastAsia="it-IT"/>
          <w14:ligatures w14:val="none"/>
        </w:rPr>
        <w:t>, abbiamo ribadito come la </w:t>
      </w:r>
      <w:r w:rsidRPr="00961136">
        <w:rPr>
          <w:rFonts w:ascii="Arial" w:eastAsia="Times New Roman" w:hAnsi="Arial" w:cs="Arial"/>
          <w:b/>
          <w:bCs/>
          <w:color w:val="000000"/>
          <w:kern w:val="0"/>
          <w:sz w:val="21"/>
          <w:szCs w:val="21"/>
          <w:lang w:eastAsia="it-IT"/>
          <w14:ligatures w14:val="none"/>
        </w:rPr>
        <w:t>mancata condivisione di obiettivi e misure</w:t>
      </w:r>
      <w:r w:rsidRPr="00961136">
        <w:rPr>
          <w:rFonts w:ascii="Arial" w:eastAsia="Times New Roman" w:hAnsi="Arial" w:cs="Arial"/>
          <w:color w:val="000000"/>
          <w:kern w:val="0"/>
          <w:sz w:val="21"/>
          <w:szCs w:val="21"/>
          <w:lang w:eastAsia="it-IT"/>
          <w14:ligatures w14:val="none"/>
        </w:rPr>
        <w:t>, la mancanza di un </w:t>
      </w:r>
      <w:r w:rsidRPr="00961136">
        <w:rPr>
          <w:rFonts w:ascii="Arial" w:eastAsia="Times New Roman" w:hAnsi="Arial" w:cs="Arial"/>
          <w:b/>
          <w:bCs/>
          <w:color w:val="000000"/>
          <w:kern w:val="0"/>
          <w:sz w:val="21"/>
          <w:szCs w:val="21"/>
          <w:lang w:eastAsia="it-IT"/>
          <w14:ligatures w14:val="none"/>
        </w:rPr>
        <w:t>riconoscimento economico del personale formando</w:t>
      </w:r>
      <w:r w:rsidRPr="00961136">
        <w:rPr>
          <w:rFonts w:ascii="Arial" w:eastAsia="Times New Roman" w:hAnsi="Arial" w:cs="Arial"/>
          <w:color w:val="000000"/>
          <w:kern w:val="0"/>
          <w:sz w:val="21"/>
          <w:szCs w:val="21"/>
          <w:lang w:eastAsia="it-IT"/>
          <w14:ligatures w14:val="none"/>
        </w:rPr>
        <w:t> e l’astratto appello allo spirito di sacrificio, rischiano di </w:t>
      </w:r>
      <w:r w:rsidRPr="00961136">
        <w:rPr>
          <w:rFonts w:ascii="Arial" w:eastAsia="Times New Roman" w:hAnsi="Arial" w:cs="Arial"/>
          <w:b/>
          <w:bCs/>
          <w:color w:val="000000"/>
          <w:kern w:val="0"/>
          <w:sz w:val="21"/>
          <w:szCs w:val="21"/>
          <w:lang w:eastAsia="it-IT"/>
          <w14:ligatures w14:val="none"/>
        </w:rPr>
        <w:t>vanificare l’efficacia dell’intero investimento</w:t>
      </w:r>
      <w:r w:rsidRPr="00961136">
        <w:rPr>
          <w:rFonts w:ascii="Arial" w:eastAsia="Times New Roman" w:hAnsi="Arial" w:cs="Arial"/>
          <w:color w:val="000000"/>
          <w:kern w:val="0"/>
          <w:sz w:val="21"/>
          <w:szCs w:val="21"/>
          <w:lang w:eastAsia="it-IT"/>
          <w14:ligatures w14:val="none"/>
        </w:rPr>
        <w:t>. La formazione in questo contesto </w:t>
      </w:r>
      <w:r w:rsidRPr="00961136">
        <w:rPr>
          <w:rFonts w:ascii="Arial" w:eastAsia="Times New Roman" w:hAnsi="Arial" w:cs="Arial"/>
          <w:b/>
          <w:bCs/>
          <w:color w:val="000000"/>
          <w:kern w:val="0"/>
          <w:sz w:val="21"/>
          <w:szCs w:val="21"/>
          <w:lang w:eastAsia="it-IT"/>
          <w14:ligatures w14:val="none"/>
        </w:rPr>
        <w:t>difficilmente diventa un reale volano di sviluppo dei processi educativi e delle professionalità</w:t>
      </w:r>
      <w:r w:rsidRPr="00961136">
        <w:rPr>
          <w:rFonts w:ascii="Arial" w:eastAsia="Times New Roman" w:hAnsi="Arial" w:cs="Arial"/>
          <w:color w:val="000000"/>
          <w:kern w:val="0"/>
          <w:sz w:val="21"/>
          <w:szCs w:val="21"/>
          <w:lang w:eastAsia="it-IT"/>
          <w14:ligatures w14:val="none"/>
        </w:rPr>
        <w:t>. Per questo vanno sostenuti tutti i processi partecipativi negli </w:t>
      </w:r>
      <w:r w:rsidRPr="00961136">
        <w:rPr>
          <w:rFonts w:ascii="Arial" w:eastAsia="Times New Roman" w:hAnsi="Arial" w:cs="Arial"/>
          <w:b/>
          <w:bCs/>
          <w:color w:val="000000"/>
          <w:kern w:val="0"/>
          <w:sz w:val="21"/>
          <w:szCs w:val="21"/>
          <w:lang w:eastAsia="it-IT"/>
          <w14:ligatures w14:val="none"/>
        </w:rPr>
        <w:t>organi collegiali</w:t>
      </w:r>
      <w:r w:rsidRPr="00961136">
        <w:rPr>
          <w:rFonts w:ascii="Arial" w:eastAsia="Times New Roman" w:hAnsi="Arial" w:cs="Arial"/>
          <w:color w:val="000000"/>
          <w:kern w:val="0"/>
          <w:sz w:val="21"/>
          <w:szCs w:val="21"/>
          <w:lang w:eastAsia="it-IT"/>
          <w14:ligatures w14:val="none"/>
        </w:rPr>
        <w:t>, attraverso </w:t>
      </w:r>
      <w:r w:rsidRPr="00961136">
        <w:rPr>
          <w:rFonts w:ascii="Arial" w:eastAsia="Times New Roman" w:hAnsi="Arial" w:cs="Arial"/>
          <w:b/>
          <w:bCs/>
          <w:color w:val="000000"/>
          <w:kern w:val="0"/>
          <w:sz w:val="21"/>
          <w:szCs w:val="21"/>
          <w:lang w:eastAsia="it-IT"/>
          <w14:ligatures w14:val="none"/>
        </w:rPr>
        <w:t>costanti relazioni sindacali, i confronti attivi tra scuole, università, associazioni professionali.</w:t>
      </w:r>
    </w:p>
    <w:p w14:paraId="1AFFF19A"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Abbiamo, inoltre, colto l’occasione per </w:t>
      </w:r>
      <w:r w:rsidRPr="00961136">
        <w:rPr>
          <w:rFonts w:ascii="Arial" w:eastAsia="Times New Roman" w:hAnsi="Arial" w:cs="Arial"/>
          <w:b/>
          <w:bCs/>
          <w:color w:val="000000"/>
          <w:kern w:val="0"/>
          <w:sz w:val="21"/>
          <w:szCs w:val="21"/>
          <w:lang w:eastAsia="it-IT"/>
          <w14:ligatures w14:val="none"/>
        </w:rPr>
        <w:t>denunciare l’impatto che avrà anche sull’attuazione del PNRR il prossimo dimensionamento scolastico</w:t>
      </w:r>
      <w:r w:rsidRPr="00961136">
        <w:rPr>
          <w:rFonts w:ascii="Arial" w:eastAsia="Times New Roman" w:hAnsi="Arial" w:cs="Arial"/>
          <w:color w:val="000000"/>
          <w:kern w:val="0"/>
          <w:sz w:val="21"/>
          <w:szCs w:val="21"/>
          <w:lang w:eastAsia="it-IT"/>
          <w14:ligatures w14:val="none"/>
        </w:rPr>
        <w:t xml:space="preserve"> che, se andasse realmente in porto, </w:t>
      </w:r>
      <w:proofErr w:type="spellStart"/>
      <w:r w:rsidRPr="00961136">
        <w:rPr>
          <w:rFonts w:ascii="Arial" w:eastAsia="Times New Roman" w:hAnsi="Arial" w:cs="Arial"/>
          <w:color w:val="000000"/>
          <w:kern w:val="0"/>
          <w:sz w:val="21"/>
          <w:szCs w:val="21"/>
          <w:lang w:eastAsia="it-IT"/>
          <w14:ligatures w14:val="none"/>
        </w:rPr>
        <w:t>modifichererebbe</w:t>
      </w:r>
      <w:proofErr w:type="spellEnd"/>
      <w:r w:rsidRPr="00961136">
        <w:rPr>
          <w:rFonts w:ascii="Arial" w:eastAsia="Times New Roman" w:hAnsi="Arial" w:cs="Arial"/>
          <w:color w:val="000000"/>
          <w:kern w:val="0"/>
          <w:sz w:val="21"/>
          <w:szCs w:val="21"/>
          <w:lang w:eastAsia="it-IT"/>
          <w14:ligatures w14:val="none"/>
        </w:rPr>
        <w:t xml:space="preserve"> in maniera significativa la geografia delle scuole rispetto agli attuali parametri su cui sono state assegnate le risorse.</w:t>
      </w:r>
    </w:p>
    <w:p w14:paraId="67E45A90"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b/>
          <w:bCs/>
          <w:color w:val="000000"/>
          <w:kern w:val="0"/>
          <w:sz w:val="21"/>
          <w:szCs w:val="21"/>
          <w:lang w:eastAsia="it-IT"/>
          <w14:ligatures w14:val="none"/>
        </w:rPr>
        <w:t>Abbiamo sostenuto la proroga fino a giugno dei contratti temporanei del personale ATA</w:t>
      </w:r>
      <w:r w:rsidRPr="00961136">
        <w:rPr>
          <w:rFonts w:ascii="Arial" w:eastAsia="Times New Roman" w:hAnsi="Arial" w:cs="Arial"/>
          <w:color w:val="000000"/>
          <w:kern w:val="0"/>
          <w:sz w:val="21"/>
          <w:szCs w:val="21"/>
          <w:lang w:eastAsia="it-IT"/>
          <w14:ligatures w14:val="none"/>
        </w:rPr>
        <w:t> previsti dal decreto legge PA bis e dal decreto Caivano, ricordando che quanto previsto da quest’ultimo provvedimento è stato realizzato attraverso l’</w:t>
      </w:r>
      <w:r w:rsidRPr="00961136">
        <w:rPr>
          <w:rFonts w:ascii="Arial" w:eastAsia="Times New Roman" w:hAnsi="Arial" w:cs="Arial"/>
          <w:b/>
          <w:bCs/>
          <w:color w:val="000000"/>
          <w:kern w:val="0"/>
          <w:sz w:val="21"/>
          <w:szCs w:val="21"/>
          <w:lang w:eastAsia="it-IT"/>
          <w14:ligatures w14:val="none"/>
        </w:rPr>
        <w:t>odioso taglio del 50% delle risorse del fondo per le scuole alluvionate.</w:t>
      </w:r>
    </w:p>
    <w:p w14:paraId="3E733A4D"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Riguardo all’avviso per l’i</w:t>
      </w:r>
      <w:r w:rsidRPr="00961136">
        <w:rPr>
          <w:rFonts w:ascii="Arial" w:eastAsia="Times New Roman" w:hAnsi="Arial" w:cs="Arial"/>
          <w:b/>
          <w:bCs/>
          <w:color w:val="000000"/>
          <w:kern w:val="0"/>
          <w:sz w:val="21"/>
          <w:szCs w:val="21"/>
          <w:lang w:eastAsia="it-IT"/>
          <w14:ligatures w14:val="none"/>
        </w:rPr>
        <w:t>ndividuazione delle scuole polo per la formazione </w:t>
      </w:r>
      <w:r w:rsidRPr="00961136">
        <w:rPr>
          <w:rFonts w:ascii="Arial" w:eastAsia="Times New Roman" w:hAnsi="Arial" w:cs="Arial"/>
          <w:color w:val="000000"/>
          <w:kern w:val="0"/>
          <w:sz w:val="21"/>
          <w:szCs w:val="21"/>
          <w:lang w:eastAsia="it-IT"/>
          <w14:ligatures w14:val="none"/>
        </w:rPr>
        <w:t>abbiamo segnalato come il </w:t>
      </w:r>
      <w:r w:rsidRPr="00961136">
        <w:rPr>
          <w:rFonts w:ascii="Arial" w:eastAsia="Times New Roman" w:hAnsi="Arial" w:cs="Arial"/>
          <w:b/>
          <w:bCs/>
          <w:color w:val="000000"/>
          <w:kern w:val="0"/>
          <w:sz w:val="21"/>
          <w:szCs w:val="21"/>
          <w:lang w:eastAsia="it-IT"/>
          <w14:ligatures w14:val="none"/>
        </w:rPr>
        <w:t>riferimento al codice degli appalti per l’individuazione del personale da retribuire appaia fuorviante</w:t>
      </w:r>
      <w:r w:rsidRPr="00961136">
        <w:rPr>
          <w:rFonts w:ascii="Arial" w:eastAsia="Times New Roman" w:hAnsi="Arial" w:cs="Arial"/>
          <w:color w:val="000000"/>
          <w:kern w:val="0"/>
          <w:sz w:val="21"/>
          <w:szCs w:val="21"/>
          <w:lang w:eastAsia="it-IT"/>
          <w14:ligatures w14:val="none"/>
        </w:rPr>
        <w:t> tenuto conto delle disposizioni contenute nel D. Lgs. 165/01 in tema di individuazione del personale interno ed esterno alle istituzioni scolastiche</w:t>
      </w:r>
    </w:p>
    <w:p w14:paraId="65907CB4"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Per tutte queste motivazioni abbiamo chiesto con forza che vi sia un </w:t>
      </w:r>
      <w:r w:rsidRPr="00961136">
        <w:rPr>
          <w:rFonts w:ascii="Arial" w:eastAsia="Times New Roman" w:hAnsi="Arial" w:cs="Arial"/>
          <w:b/>
          <w:bCs/>
          <w:color w:val="000000"/>
          <w:kern w:val="0"/>
          <w:sz w:val="21"/>
          <w:szCs w:val="21"/>
          <w:lang w:eastAsia="it-IT"/>
          <w14:ligatures w14:val="none"/>
        </w:rPr>
        <w:t>tavolo di confronto permanente con le organizzazioni sindacali sulla gestione dei singoli interventi del PNRR nelle scuole.</w:t>
      </w:r>
    </w:p>
    <w:p w14:paraId="60F318F4" w14:textId="77777777" w:rsidR="00961136" w:rsidRPr="00961136" w:rsidRDefault="00961136" w:rsidP="00961136">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961136">
        <w:rPr>
          <w:rFonts w:ascii="Tahoma" w:eastAsia="Times New Roman" w:hAnsi="Tahoma" w:cs="Tahoma"/>
          <w:color w:val="DC3B33"/>
          <w:kern w:val="36"/>
          <w:sz w:val="45"/>
          <w:szCs w:val="45"/>
          <w:lang w:eastAsia="it-IT"/>
          <w14:ligatures w14:val="none"/>
        </w:rPr>
        <w:t>Programma annuale 2024: la comunicazione del MIM alle scuole</w:t>
      </w:r>
    </w:p>
    <w:p w14:paraId="6911398E" w14:textId="77777777" w:rsidR="00961136" w:rsidRPr="00961136" w:rsidRDefault="00961136" w:rsidP="00961136">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961136">
        <w:rPr>
          <w:rFonts w:ascii="Arial" w:eastAsia="Times New Roman" w:hAnsi="Arial" w:cs="Arial"/>
          <w:color w:val="535353"/>
          <w:kern w:val="0"/>
          <w:sz w:val="27"/>
          <w:szCs w:val="27"/>
          <w:lang w:eastAsia="it-IT"/>
          <w14:ligatures w14:val="none"/>
        </w:rPr>
        <w:t>Confermate le risorse per il funzionamento delle scuole e per il salario accessorio del personale. Irrisori finanziamenti e l’applicazione delle scelte unilaterali sulla mobilità dei docenti previsti dal decreto Caivano.</w:t>
      </w:r>
    </w:p>
    <w:p w14:paraId="54D9F286" w14:textId="77777777" w:rsidR="00961136" w:rsidRPr="00961136" w:rsidRDefault="00961136" w:rsidP="00961136">
      <w:pPr>
        <w:shd w:val="clear" w:color="auto" w:fill="FFFFFF"/>
        <w:spacing w:after="0" w:line="240" w:lineRule="auto"/>
        <w:rPr>
          <w:rFonts w:ascii="Arial" w:eastAsia="Times New Roman" w:hAnsi="Arial" w:cs="Arial"/>
          <w:color w:val="4D4D4D"/>
          <w:kern w:val="0"/>
          <w:sz w:val="21"/>
          <w:szCs w:val="21"/>
          <w:lang w:eastAsia="it-IT"/>
          <w14:ligatures w14:val="none"/>
        </w:rPr>
      </w:pPr>
      <w:r w:rsidRPr="00961136">
        <w:rPr>
          <w:rFonts w:ascii="Arial" w:eastAsia="Times New Roman" w:hAnsi="Arial" w:cs="Arial"/>
          <w:b/>
          <w:bCs/>
          <w:color w:val="4D4D4D"/>
          <w:kern w:val="0"/>
          <w:sz w:val="21"/>
          <w:szCs w:val="21"/>
          <w:lang w:eastAsia="it-IT"/>
          <w14:ligatures w14:val="none"/>
        </w:rPr>
        <w:t>02/10/2023</w:t>
      </w:r>
    </w:p>
    <w:p w14:paraId="6F9E6CD9" w14:textId="77FA24A1"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Con la </w:t>
      </w:r>
      <w:hyperlink r:id="rId9" w:tgtFrame="_blank" w:history="1">
        <w:r w:rsidRPr="00961136">
          <w:rPr>
            <w:rFonts w:ascii="Arial" w:eastAsia="Times New Roman" w:hAnsi="Arial" w:cs="Arial"/>
            <w:color w:val="005EB3"/>
            <w:kern w:val="0"/>
            <w:sz w:val="21"/>
            <w:szCs w:val="21"/>
            <w:u w:val="single"/>
            <w:lang w:eastAsia="it-IT"/>
            <w14:ligatures w14:val="none"/>
          </w:rPr>
          <w:t>nota ministeriale 25954 del 29 settembre 2023</w:t>
        </w:r>
      </w:hyperlink>
      <w:r w:rsidRPr="00961136">
        <w:rPr>
          <w:rFonts w:ascii="Arial" w:eastAsia="Times New Roman" w:hAnsi="Arial" w:cs="Arial"/>
          <w:i/>
          <w:iCs/>
          <w:color w:val="000000"/>
          <w:kern w:val="0"/>
          <w:sz w:val="21"/>
          <w:szCs w:val="21"/>
          <w:lang w:eastAsia="it-IT"/>
          <w14:ligatures w14:val="none"/>
        </w:rPr>
        <w:t>,</w:t>
      </w:r>
      <w:r w:rsidRPr="00961136">
        <w:rPr>
          <w:rFonts w:ascii="Arial" w:eastAsia="Times New Roman" w:hAnsi="Arial" w:cs="Arial"/>
          <w:color w:val="000000"/>
          <w:kern w:val="0"/>
          <w:sz w:val="21"/>
          <w:szCs w:val="21"/>
          <w:lang w:eastAsia="it-IT"/>
          <w14:ligatures w14:val="none"/>
        </w:rPr>
        <w:t xml:space="preserve"> la Direzionale Generale per le risorse umane e finanziarie ha comunicato alle scuole l’assegnazione delle risorse finanziarie per il funzionamento amministrativo-didattico del  periodo settembre-dicembre 2023 e del periodo gennaio-agosto 2024 che confermano le dotazioni degli anni passati. Invariate anche le assegnazioni  relative agli istituti </w:t>
      </w:r>
      <w:r w:rsidRPr="00961136">
        <w:rPr>
          <w:rFonts w:ascii="Arial" w:eastAsia="Times New Roman" w:hAnsi="Arial" w:cs="Arial"/>
          <w:color w:val="000000"/>
          <w:kern w:val="0"/>
          <w:sz w:val="21"/>
          <w:szCs w:val="21"/>
          <w:lang w:eastAsia="it-IT"/>
          <w14:ligatures w14:val="none"/>
        </w:rPr>
        <w:lastRenderedPageBreak/>
        <w:t>contrattuali che compongono il Fondo per il Miglioramento dell’Offerta Formativa (FMOF) e derivano dall’</w:t>
      </w:r>
      <w:r w:rsidRPr="00961136">
        <w:rPr>
          <w:rFonts w:ascii="Arial" w:eastAsia="Times New Roman" w:hAnsi="Arial" w:cs="Arial"/>
          <w:b/>
          <w:bCs/>
          <w:color w:val="000000"/>
          <w:kern w:val="0"/>
          <w:sz w:val="21"/>
          <w:szCs w:val="21"/>
          <w:lang w:eastAsia="it-IT"/>
          <w14:ligatures w14:val="none"/>
        </w:rPr>
        <w:t>Ipotesi di CCNI</w:t>
      </w:r>
      <w:r w:rsidRPr="00961136">
        <w:rPr>
          <w:rFonts w:ascii="Arial" w:eastAsia="Times New Roman" w:hAnsi="Arial" w:cs="Arial"/>
          <w:color w:val="000000"/>
          <w:kern w:val="0"/>
          <w:sz w:val="21"/>
          <w:szCs w:val="21"/>
          <w:lang w:eastAsia="it-IT"/>
          <w14:ligatures w14:val="none"/>
        </w:rPr>
        <w:t> </w:t>
      </w:r>
      <w:r w:rsidRPr="00961136">
        <w:rPr>
          <w:rFonts w:ascii="Arial" w:eastAsia="Times New Roman" w:hAnsi="Arial" w:cs="Arial"/>
          <w:b/>
          <w:bCs/>
          <w:color w:val="000000"/>
          <w:kern w:val="0"/>
          <w:sz w:val="21"/>
          <w:szCs w:val="21"/>
          <w:lang w:eastAsia="it-IT"/>
          <w14:ligatures w14:val="none"/>
        </w:rPr>
        <w:t> relativo all’anno scolastico 2023/2024</w:t>
      </w:r>
      <w:r w:rsidRPr="00961136">
        <w:rPr>
          <w:rFonts w:ascii="Arial" w:eastAsia="Times New Roman" w:hAnsi="Arial" w:cs="Arial"/>
          <w:color w:val="000000"/>
          <w:kern w:val="0"/>
          <w:sz w:val="21"/>
          <w:szCs w:val="21"/>
          <w:lang w:eastAsia="it-IT"/>
          <w14:ligatures w14:val="none"/>
        </w:rPr>
        <w:t>, </w:t>
      </w:r>
      <w:hyperlink r:id="rId10" w:tgtFrame="_blank" w:history="1">
        <w:r w:rsidRPr="00961136">
          <w:rPr>
            <w:rFonts w:ascii="Arial" w:eastAsia="Times New Roman" w:hAnsi="Arial" w:cs="Arial"/>
            <w:color w:val="005EB3"/>
            <w:kern w:val="0"/>
            <w:sz w:val="21"/>
            <w:szCs w:val="21"/>
            <w:u w:val="single"/>
            <w:lang w:eastAsia="it-IT"/>
            <w14:ligatures w14:val="none"/>
          </w:rPr>
          <w:t>siglato l’8 settembre 2023</w:t>
        </w:r>
      </w:hyperlink>
      <w:r w:rsidRPr="00961136">
        <w:rPr>
          <w:rFonts w:ascii="Arial" w:eastAsia="Times New Roman" w:hAnsi="Arial" w:cs="Arial"/>
          <w:color w:val="000000"/>
          <w:kern w:val="0"/>
          <w:sz w:val="21"/>
          <w:szCs w:val="21"/>
          <w:lang w:eastAsia="it-IT"/>
          <w14:ligatures w14:val="none"/>
        </w:rPr>
        <w:t>.</w:t>
      </w:r>
    </w:p>
    <w:p w14:paraId="2BC2C575"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 xml:space="preserve">La comunicazione consentirà alle scuole di programmare le spese per l’attuazione del PTOF </w:t>
      </w:r>
      <w:proofErr w:type="spellStart"/>
      <w:r w:rsidRPr="00961136">
        <w:rPr>
          <w:rFonts w:ascii="Arial" w:eastAsia="Times New Roman" w:hAnsi="Arial" w:cs="Arial"/>
          <w:color w:val="000000"/>
          <w:kern w:val="0"/>
          <w:sz w:val="21"/>
          <w:szCs w:val="21"/>
          <w:lang w:eastAsia="it-IT"/>
          <w14:ligatures w14:val="none"/>
        </w:rPr>
        <w:t>a.s.</w:t>
      </w:r>
      <w:proofErr w:type="spellEnd"/>
      <w:r w:rsidRPr="00961136">
        <w:rPr>
          <w:rFonts w:ascii="Arial" w:eastAsia="Times New Roman" w:hAnsi="Arial" w:cs="Arial"/>
          <w:color w:val="000000"/>
          <w:kern w:val="0"/>
          <w:sz w:val="21"/>
          <w:szCs w:val="21"/>
          <w:lang w:eastAsia="it-IT"/>
          <w14:ligatures w14:val="none"/>
        </w:rPr>
        <w:t xml:space="preserve"> 2023/24 e di concludere le contrattazioni integrative di scuola.</w:t>
      </w:r>
    </w:p>
    <w:p w14:paraId="6A1DE075"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La nota ricorda che le economie del FMOF degli anni precedenti sono utilizzabili liberamente dalle scuole senza il vincolo della precedente destinazione previa richiesta di diversa finalizzazione da effettuare </w:t>
      </w:r>
      <w:r w:rsidRPr="00961136">
        <w:rPr>
          <w:rFonts w:ascii="Arial" w:eastAsia="Times New Roman" w:hAnsi="Arial" w:cs="Arial"/>
          <w:b/>
          <w:bCs/>
          <w:color w:val="000000"/>
          <w:kern w:val="0"/>
          <w:sz w:val="21"/>
          <w:szCs w:val="21"/>
          <w:lang w:eastAsia="it-IT"/>
          <w14:ligatures w14:val="none"/>
        </w:rPr>
        <w:t>obbligatoriamente</w:t>
      </w:r>
      <w:r w:rsidRPr="00961136">
        <w:rPr>
          <w:rFonts w:ascii="Arial" w:eastAsia="Times New Roman" w:hAnsi="Arial" w:cs="Arial"/>
          <w:color w:val="000000"/>
          <w:kern w:val="0"/>
          <w:sz w:val="21"/>
          <w:szCs w:val="21"/>
          <w:lang w:eastAsia="it-IT"/>
          <w14:ligatures w14:val="none"/>
        </w:rPr>
        <w:t> </w:t>
      </w:r>
      <w:r w:rsidRPr="00961136">
        <w:rPr>
          <w:rFonts w:ascii="Arial" w:eastAsia="Times New Roman" w:hAnsi="Arial" w:cs="Arial"/>
          <w:b/>
          <w:bCs/>
          <w:color w:val="000000"/>
          <w:kern w:val="0"/>
          <w:sz w:val="21"/>
          <w:szCs w:val="21"/>
          <w:lang w:eastAsia="it-IT"/>
          <w14:ligatures w14:val="none"/>
        </w:rPr>
        <w:t>entro il 30 marzo 2024.</w:t>
      </w:r>
      <w:r w:rsidRPr="00961136">
        <w:rPr>
          <w:rFonts w:ascii="Arial" w:eastAsia="Times New Roman" w:hAnsi="Arial" w:cs="Arial"/>
          <w:color w:val="000000"/>
          <w:kern w:val="0"/>
          <w:sz w:val="21"/>
          <w:szCs w:val="21"/>
          <w:lang w:eastAsia="it-IT"/>
          <w14:ligatures w14:val="none"/>
        </w:rPr>
        <w:t> Le scuole, nelle more del completamento dell’iter amministrativo, non dovranno utilizzare le economie di cui si è chiesta la variazione su un altro piano gestionale.</w:t>
      </w:r>
    </w:p>
    <w:p w14:paraId="1738E93C"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La nota indica anche la data (giugno 2024), il cui mancato rispetto quest’anno </w:t>
      </w:r>
      <w:hyperlink r:id="rId11" w:tgtFrame="_blank" w:history="1">
        <w:r w:rsidRPr="00961136">
          <w:rPr>
            <w:rFonts w:ascii="Arial" w:eastAsia="Times New Roman" w:hAnsi="Arial" w:cs="Arial"/>
            <w:color w:val="005EB3"/>
            <w:kern w:val="0"/>
            <w:sz w:val="21"/>
            <w:szCs w:val="21"/>
            <w:u w:val="single"/>
            <w:lang w:eastAsia="it-IT"/>
            <w14:ligatures w14:val="none"/>
          </w:rPr>
          <w:t>è stato denunciato dalla FLC</w:t>
        </w:r>
      </w:hyperlink>
      <w:r w:rsidRPr="00961136">
        <w:rPr>
          <w:rFonts w:ascii="Arial" w:eastAsia="Times New Roman" w:hAnsi="Arial" w:cs="Arial"/>
          <w:color w:val="000000"/>
          <w:kern w:val="0"/>
          <w:sz w:val="21"/>
          <w:szCs w:val="21"/>
          <w:lang w:eastAsia="it-IT"/>
          <w14:ligatures w14:val="none"/>
        </w:rPr>
        <w:t>, per la riassegnazione delle economie alle scuole.</w:t>
      </w:r>
    </w:p>
    <w:p w14:paraId="7D585884"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Con note successive il MIM comunicherà l’assegnazione di ulteriori risorse ad integrazione di quelle comunicate, a seguito dell’attivazione di apposite rilevazioni:</w:t>
      </w:r>
    </w:p>
    <w:p w14:paraId="4148C939" w14:textId="77777777" w:rsidR="00961136" w:rsidRPr="00961136" w:rsidRDefault="00961136" w:rsidP="00961136">
      <w:pPr>
        <w:numPr>
          <w:ilvl w:val="0"/>
          <w:numId w:val="11"/>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 xml:space="preserve">le </w:t>
      </w:r>
      <w:proofErr w:type="gramStart"/>
      <w:r w:rsidRPr="00961136">
        <w:rPr>
          <w:rFonts w:ascii="Arial" w:eastAsia="Times New Roman" w:hAnsi="Arial" w:cs="Arial"/>
          <w:color w:val="000000"/>
          <w:kern w:val="0"/>
          <w:sz w:val="23"/>
          <w:szCs w:val="23"/>
          <w:lang w:eastAsia="it-IT"/>
          <w14:ligatures w14:val="none"/>
        </w:rPr>
        <w:t>risorse  destinate</w:t>
      </w:r>
      <w:proofErr w:type="gramEnd"/>
      <w:r w:rsidRPr="00961136">
        <w:rPr>
          <w:rFonts w:ascii="Arial" w:eastAsia="Times New Roman" w:hAnsi="Arial" w:cs="Arial"/>
          <w:color w:val="000000"/>
          <w:kern w:val="0"/>
          <w:sz w:val="23"/>
          <w:szCs w:val="23"/>
          <w:lang w:eastAsia="it-IT"/>
          <w14:ligatures w14:val="none"/>
        </w:rPr>
        <w:t xml:space="preserve"> al pagamento dei docenti Coordinatori di educazione fisica presso gli USR;</w:t>
      </w:r>
    </w:p>
    <w:p w14:paraId="205C608F" w14:textId="77777777" w:rsidR="00961136" w:rsidRPr="00961136" w:rsidRDefault="00961136" w:rsidP="00961136">
      <w:pPr>
        <w:numPr>
          <w:ilvl w:val="0"/>
          <w:numId w:val="11"/>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le risorse per l’indennità di sostituzione del DSGA;</w:t>
      </w:r>
    </w:p>
    <w:p w14:paraId="12F1010E" w14:textId="77777777" w:rsidR="00961136" w:rsidRPr="00961136" w:rsidRDefault="00961136" w:rsidP="00961136">
      <w:pPr>
        <w:numPr>
          <w:ilvl w:val="0"/>
          <w:numId w:val="11"/>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le risorse per l’indennità di bilinguismo e trilinguismo da corrispondere al personale docente della scuola Primaria e al personale ATA, della Regione Friuli Venezia Giulia;</w:t>
      </w:r>
    </w:p>
    <w:p w14:paraId="42C224EB" w14:textId="77777777" w:rsidR="00961136" w:rsidRPr="00961136" w:rsidRDefault="00961136" w:rsidP="00961136">
      <w:pPr>
        <w:numPr>
          <w:ilvl w:val="0"/>
          <w:numId w:val="11"/>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 xml:space="preserve">le risorse destinate ai CPIA afferenti </w:t>
      </w:r>
      <w:proofErr w:type="gramStart"/>
      <w:r w:rsidRPr="00961136">
        <w:rPr>
          <w:rFonts w:ascii="Arial" w:eastAsia="Times New Roman" w:hAnsi="Arial" w:cs="Arial"/>
          <w:color w:val="000000"/>
          <w:kern w:val="0"/>
          <w:sz w:val="23"/>
          <w:szCs w:val="23"/>
          <w:lang w:eastAsia="it-IT"/>
          <w14:ligatures w14:val="none"/>
        </w:rPr>
        <w:t>le</w:t>
      </w:r>
      <w:proofErr w:type="gramEnd"/>
      <w:r w:rsidRPr="00961136">
        <w:rPr>
          <w:rFonts w:ascii="Arial" w:eastAsia="Times New Roman" w:hAnsi="Arial" w:cs="Arial"/>
          <w:color w:val="000000"/>
          <w:kern w:val="0"/>
          <w:sz w:val="23"/>
          <w:szCs w:val="23"/>
          <w:lang w:eastAsia="it-IT"/>
          <w14:ligatures w14:val="none"/>
        </w:rPr>
        <w:t xml:space="preserve"> Aree a rischio, a forte processo immigratorio e contro l’emarginazione scolastica.</w:t>
      </w:r>
    </w:p>
    <w:p w14:paraId="2D0F1301"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Le somme non impegnate dalle scuole alluvionate entro il </w:t>
      </w:r>
      <w:r w:rsidRPr="00961136">
        <w:rPr>
          <w:rFonts w:ascii="Arial" w:eastAsia="Times New Roman" w:hAnsi="Arial" w:cs="Arial"/>
          <w:b/>
          <w:bCs/>
          <w:color w:val="000000"/>
          <w:kern w:val="0"/>
          <w:sz w:val="21"/>
          <w:szCs w:val="21"/>
          <w:lang w:eastAsia="it-IT"/>
          <w14:ligatures w14:val="none"/>
        </w:rPr>
        <w:t>31 agosto 2023 dovranno essere restituite</w:t>
      </w:r>
      <w:r w:rsidRPr="00961136">
        <w:rPr>
          <w:rFonts w:ascii="Arial" w:eastAsia="Times New Roman" w:hAnsi="Arial" w:cs="Arial"/>
          <w:color w:val="000000"/>
          <w:kern w:val="0"/>
          <w:sz w:val="21"/>
          <w:szCs w:val="21"/>
          <w:lang w:eastAsia="it-IT"/>
          <w14:ligatures w14:val="none"/>
        </w:rPr>
        <w:t>. Le scuole hanno saputo solo il </w:t>
      </w:r>
      <w:r w:rsidRPr="00961136">
        <w:rPr>
          <w:rFonts w:ascii="Arial" w:eastAsia="Times New Roman" w:hAnsi="Arial" w:cs="Arial"/>
          <w:b/>
          <w:bCs/>
          <w:color w:val="000000"/>
          <w:kern w:val="0"/>
          <w:sz w:val="21"/>
          <w:szCs w:val="21"/>
          <w:lang w:eastAsia="it-IT"/>
          <w14:ligatures w14:val="none"/>
        </w:rPr>
        <w:t>14 agosto 2023</w:t>
      </w:r>
      <w:r w:rsidRPr="00961136">
        <w:rPr>
          <w:rFonts w:ascii="Arial" w:eastAsia="Times New Roman" w:hAnsi="Arial" w:cs="Arial"/>
          <w:color w:val="000000"/>
          <w:kern w:val="0"/>
          <w:sz w:val="21"/>
          <w:szCs w:val="21"/>
          <w:lang w:eastAsia="it-IT"/>
          <w14:ligatures w14:val="none"/>
        </w:rPr>
        <w:t> di doverne rendicontare l’utilizzo entro il </w:t>
      </w:r>
      <w:r w:rsidRPr="00961136">
        <w:rPr>
          <w:rFonts w:ascii="Arial" w:eastAsia="Times New Roman" w:hAnsi="Arial" w:cs="Arial"/>
          <w:b/>
          <w:bCs/>
          <w:color w:val="000000"/>
          <w:kern w:val="0"/>
          <w:sz w:val="21"/>
          <w:szCs w:val="21"/>
          <w:lang w:eastAsia="it-IT"/>
          <w14:ligatures w14:val="none"/>
        </w:rPr>
        <w:t>30 settembre 2023</w:t>
      </w:r>
      <w:r w:rsidRPr="00961136">
        <w:rPr>
          <w:rFonts w:ascii="Arial" w:eastAsia="Times New Roman" w:hAnsi="Arial" w:cs="Arial"/>
          <w:color w:val="000000"/>
          <w:kern w:val="0"/>
          <w:sz w:val="21"/>
          <w:szCs w:val="21"/>
          <w:lang w:eastAsia="it-IT"/>
          <w14:ligatures w14:val="none"/>
        </w:rPr>
        <w:t> e di doverle restituire entro il </w:t>
      </w:r>
      <w:r w:rsidRPr="00961136">
        <w:rPr>
          <w:rFonts w:ascii="Arial" w:eastAsia="Times New Roman" w:hAnsi="Arial" w:cs="Arial"/>
          <w:b/>
          <w:bCs/>
          <w:color w:val="000000"/>
          <w:kern w:val="0"/>
          <w:sz w:val="21"/>
          <w:szCs w:val="21"/>
          <w:lang w:eastAsia="it-IT"/>
          <w14:ligatures w14:val="none"/>
        </w:rPr>
        <w:t>30 novembre 2023</w:t>
      </w:r>
      <w:r w:rsidRPr="00961136">
        <w:rPr>
          <w:rFonts w:ascii="Arial" w:eastAsia="Times New Roman" w:hAnsi="Arial" w:cs="Arial"/>
          <w:color w:val="000000"/>
          <w:kern w:val="0"/>
          <w:sz w:val="21"/>
          <w:szCs w:val="21"/>
          <w:lang w:eastAsia="it-IT"/>
          <w14:ligatures w14:val="none"/>
        </w:rPr>
        <w:t>.</w:t>
      </w:r>
    </w:p>
    <w:p w14:paraId="3658D9B7"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Fa parte della comunicazione la quota di risorse destinate ad una piccola parte delle scuole italiane dal </w:t>
      </w:r>
      <w:hyperlink r:id="rId12" w:tgtFrame="_blank" w:history="1">
        <w:r w:rsidRPr="00961136">
          <w:rPr>
            <w:rFonts w:ascii="Arial" w:eastAsia="Times New Roman" w:hAnsi="Arial" w:cs="Arial"/>
            <w:color w:val="005EB3"/>
            <w:kern w:val="0"/>
            <w:sz w:val="21"/>
            <w:szCs w:val="21"/>
            <w:u w:val="single"/>
            <w:lang w:eastAsia="it-IT"/>
            <w14:ligatures w14:val="none"/>
          </w:rPr>
          <w:t>decreto legge 123 del 15 settembre 2023</w:t>
        </w:r>
      </w:hyperlink>
      <w:r w:rsidRPr="00961136">
        <w:rPr>
          <w:rFonts w:ascii="Arial" w:eastAsia="Times New Roman" w:hAnsi="Arial" w:cs="Arial"/>
          <w:color w:val="000000"/>
          <w:kern w:val="0"/>
          <w:sz w:val="21"/>
          <w:szCs w:val="21"/>
          <w:lang w:eastAsia="it-IT"/>
          <w14:ligatures w14:val="none"/>
        </w:rPr>
        <w:t> (decreto Caivano).</w:t>
      </w:r>
    </w:p>
    <w:p w14:paraId="09A51ED8" w14:textId="77777777" w:rsidR="00961136" w:rsidRPr="00961136" w:rsidRDefault="00961136" w:rsidP="00961136">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961136">
        <w:rPr>
          <w:rFonts w:ascii="Arial" w:eastAsia="Times New Roman" w:hAnsi="Arial" w:cs="Arial"/>
          <w:b/>
          <w:bCs/>
          <w:color w:val="535353"/>
          <w:kern w:val="0"/>
          <w:sz w:val="27"/>
          <w:szCs w:val="27"/>
          <w:lang w:eastAsia="it-IT"/>
          <w14:ligatures w14:val="none"/>
        </w:rPr>
        <w:t>Le valutazioni della FLC CGIL</w:t>
      </w:r>
    </w:p>
    <w:p w14:paraId="1E9D0463"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La nota ha sicuramente il merito di aver messo le scuole nelle condizioni di conoscere tempestivamente le provviste su cui esse possono contare per la programmazione delle attività relative al funzionamento didattico e amministrativo e delle attività aggiuntive che potranno svolgere docenti, educatori e Ata per l’attuazione del progetto di istituto.</w:t>
      </w:r>
    </w:p>
    <w:p w14:paraId="08BDFB1F"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Per quanto ci riguarda le indicazioni ministeriali invece non sono condivisibili laddove anticipano, dandoli per acquisiti, alcuni contenuti previsti nel DL cosiddetto Caivano. E’ il caso ad esempio del punteggio aggiuntivo per i docenti che permangono per un triennio nella medesima istituzione scolastica ricompresa </w:t>
      </w:r>
      <w:hyperlink r:id="rId13" w:tgtFrame="_blank" w:history="1">
        <w:r w:rsidRPr="00961136">
          <w:rPr>
            <w:rFonts w:ascii="Arial" w:eastAsia="Times New Roman" w:hAnsi="Arial" w:cs="Arial"/>
            <w:color w:val="005EB3"/>
            <w:kern w:val="0"/>
            <w:sz w:val="21"/>
            <w:szCs w:val="21"/>
            <w:u w:val="single"/>
            <w:lang w:eastAsia="it-IT"/>
            <w14:ligatures w14:val="none"/>
          </w:rPr>
          <w:t>nelle zone più disagiate</w:t>
        </w:r>
      </w:hyperlink>
      <w:r w:rsidRPr="00961136">
        <w:rPr>
          <w:rFonts w:ascii="Arial" w:eastAsia="Times New Roman" w:hAnsi="Arial" w:cs="Arial"/>
          <w:color w:val="000000"/>
          <w:kern w:val="0"/>
          <w:sz w:val="21"/>
          <w:szCs w:val="21"/>
          <w:lang w:eastAsia="it-IT"/>
          <w14:ligatures w14:val="none"/>
        </w:rPr>
        <w:t>.</w:t>
      </w:r>
    </w:p>
    <w:p w14:paraId="7B578DBA"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Cosi come riteniamo sbagliato non aver dato alle scuole alluvionate, come da noi richiesto, una proroga del termine del 31 agosto per poter fare gli acquisiti ragione per cui adesso gli si richiede la restituzione delle somme non impegnate peraltro già dirottate per altri usi sempre nel DL Caivano.</w:t>
      </w:r>
    </w:p>
    <w:p w14:paraId="68E524FC" w14:textId="77777777" w:rsidR="00961136" w:rsidRPr="00961136" w:rsidRDefault="00961136" w:rsidP="00961136">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61136">
        <w:rPr>
          <w:rFonts w:ascii="Arial" w:eastAsia="Times New Roman" w:hAnsi="Arial" w:cs="Arial"/>
          <w:color w:val="000000"/>
          <w:kern w:val="0"/>
          <w:sz w:val="21"/>
          <w:szCs w:val="21"/>
          <w:lang w:eastAsia="it-IT"/>
          <w14:ligatures w14:val="none"/>
        </w:rPr>
        <w:t>La FLC avanzerà puntuali emendamenti in sede di conversione in legge del DL Caivano al fine di:</w:t>
      </w:r>
    </w:p>
    <w:p w14:paraId="39C8C0AC" w14:textId="77777777" w:rsidR="00961136" w:rsidRPr="00961136" w:rsidRDefault="00961136" w:rsidP="00961136">
      <w:pPr>
        <w:numPr>
          <w:ilvl w:val="0"/>
          <w:numId w:val="1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ripristinare la primazia della contrattazione integrativa nazionale in tema di mobilità;</w:t>
      </w:r>
    </w:p>
    <w:p w14:paraId="65945A41" w14:textId="77777777" w:rsidR="00961136" w:rsidRPr="00961136" w:rsidRDefault="00961136" w:rsidP="00961136">
      <w:pPr>
        <w:numPr>
          <w:ilvl w:val="0"/>
          <w:numId w:val="12"/>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961136">
        <w:rPr>
          <w:rFonts w:ascii="Arial" w:eastAsia="Times New Roman" w:hAnsi="Arial" w:cs="Arial"/>
          <w:color w:val="000000"/>
          <w:kern w:val="0"/>
          <w:sz w:val="23"/>
          <w:szCs w:val="23"/>
          <w:lang w:eastAsia="it-IT"/>
          <w14:ligatures w14:val="none"/>
        </w:rPr>
        <w:t>chiedere lo stanziamento di risorse aggiuntive per combattere la dispersione che vadano oltre le regioni del sud;</w:t>
      </w:r>
    </w:p>
    <w:p w14:paraId="1215E74A" w14:textId="708BE065" w:rsidR="000D0D40" w:rsidRDefault="00961136" w:rsidP="0063214A">
      <w:pPr>
        <w:numPr>
          <w:ilvl w:val="0"/>
          <w:numId w:val="12"/>
        </w:numPr>
        <w:shd w:val="clear" w:color="auto" w:fill="FFFFFF"/>
        <w:spacing w:after="150" w:line="240" w:lineRule="auto"/>
        <w:ind w:left="795"/>
      </w:pPr>
      <w:r w:rsidRPr="00961136">
        <w:rPr>
          <w:rFonts w:ascii="Arial" w:eastAsia="Times New Roman" w:hAnsi="Arial" w:cs="Arial"/>
          <w:color w:val="000000"/>
          <w:kern w:val="0"/>
          <w:sz w:val="23"/>
          <w:szCs w:val="23"/>
          <w:lang w:eastAsia="it-IT"/>
          <w14:ligatures w14:val="none"/>
        </w:rPr>
        <w:t>restituire alle scuole dei territori alluvionati i soldi che le stesse non ha potuto utilizzare a causa dei tempi ristretti fissati dal Ministero.</w:t>
      </w:r>
    </w:p>
    <w:sectPr w:rsidR="000D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85F"/>
    <w:multiLevelType w:val="multilevel"/>
    <w:tmpl w:val="100C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8053A"/>
    <w:multiLevelType w:val="multilevel"/>
    <w:tmpl w:val="490EF2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056341D"/>
    <w:multiLevelType w:val="multilevel"/>
    <w:tmpl w:val="0BC2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84130"/>
    <w:multiLevelType w:val="multilevel"/>
    <w:tmpl w:val="3074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911F6"/>
    <w:multiLevelType w:val="multilevel"/>
    <w:tmpl w:val="6020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68124D"/>
    <w:multiLevelType w:val="multilevel"/>
    <w:tmpl w:val="AE58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4751B"/>
    <w:multiLevelType w:val="multilevel"/>
    <w:tmpl w:val="AC805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0D29E2"/>
    <w:multiLevelType w:val="multilevel"/>
    <w:tmpl w:val="ED7427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C832C94"/>
    <w:multiLevelType w:val="multilevel"/>
    <w:tmpl w:val="F0B6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C26882"/>
    <w:multiLevelType w:val="multilevel"/>
    <w:tmpl w:val="1D78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6C0D2A"/>
    <w:multiLevelType w:val="multilevel"/>
    <w:tmpl w:val="65C8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E81E33"/>
    <w:multiLevelType w:val="multilevel"/>
    <w:tmpl w:val="6AF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372452">
    <w:abstractNumId w:val="0"/>
  </w:num>
  <w:num w:numId="2" w16cid:durableId="631056827">
    <w:abstractNumId w:val="7"/>
  </w:num>
  <w:num w:numId="3" w16cid:durableId="559555722">
    <w:abstractNumId w:val="8"/>
  </w:num>
  <w:num w:numId="4" w16cid:durableId="12583173">
    <w:abstractNumId w:val="1"/>
    <w:lvlOverride w:ilvl="0">
      <w:startOverride w:val="2"/>
    </w:lvlOverride>
  </w:num>
  <w:num w:numId="5" w16cid:durableId="1790591510">
    <w:abstractNumId w:val="11"/>
  </w:num>
  <w:num w:numId="6" w16cid:durableId="101843752">
    <w:abstractNumId w:val="10"/>
  </w:num>
  <w:num w:numId="7" w16cid:durableId="1016349352">
    <w:abstractNumId w:val="6"/>
  </w:num>
  <w:num w:numId="8" w16cid:durableId="2086029734">
    <w:abstractNumId w:val="5"/>
  </w:num>
  <w:num w:numId="9" w16cid:durableId="1586497364">
    <w:abstractNumId w:val="4"/>
    <w:lvlOverride w:ilvl="0">
      <w:startOverride w:val="2"/>
    </w:lvlOverride>
  </w:num>
  <w:num w:numId="10" w16cid:durableId="486631849">
    <w:abstractNumId w:val="3"/>
  </w:num>
  <w:num w:numId="11" w16cid:durableId="718094692">
    <w:abstractNumId w:val="2"/>
  </w:num>
  <w:num w:numId="12" w16cid:durableId="1645163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36"/>
    <w:rsid w:val="000D0D40"/>
    <w:rsid w:val="000D0EC2"/>
    <w:rsid w:val="009611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9F75"/>
  <w15:chartTrackingRefBased/>
  <w15:docId w15:val="{AD68E1E2-2748-4F5B-9BEB-CCCE9BDC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6918">
      <w:bodyDiv w:val="1"/>
      <w:marLeft w:val="0"/>
      <w:marRight w:val="0"/>
      <w:marTop w:val="0"/>
      <w:marBottom w:val="0"/>
      <w:divBdr>
        <w:top w:val="none" w:sz="0" w:space="0" w:color="auto"/>
        <w:left w:val="none" w:sz="0" w:space="0" w:color="auto"/>
        <w:bottom w:val="none" w:sz="0" w:space="0" w:color="auto"/>
        <w:right w:val="none" w:sz="0" w:space="0" w:color="auto"/>
      </w:divBdr>
      <w:divsChild>
        <w:div w:id="2013098530">
          <w:marLeft w:val="0"/>
          <w:marRight w:val="0"/>
          <w:marTop w:val="150"/>
          <w:marBottom w:val="150"/>
          <w:divBdr>
            <w:top w:val="none" w:sz="0" w:space="0" w:color="auto"/>
            <w:left w:val="none" w:sz="0" w:space="0" w:color="auto"/>
            <w:bottom w:val="single" w:sz="6" w:space="0" w:color="CCCCCC"/>
            <w:right w:val="none" w:sz="0" w:space="0" w:color="auto"/>
          </w:divBdr>
          <w:divsChild>
            <w:div w:id="1903251314">
              <w:marLeft w:val="0"/>
              <w:marRight w:val="0"/>
              <w:marTop w:val="0"/>
              <w:marBottom w:val="0"/>
              <w:divBdr>
                <w:top w:val="none" w:sz="0" w:space="0" w:color="auto"/>
                <w:left w:val="none" w:sz="0" w:space="0" w:color="auto"/>
                <w:bottom w:val="none" w:sz="0" w:space="0" w:color="auto"/>
                <w:right w:val="none" w:sz="0" w:space="0" w:color="auto"/>
              </w:divBdr>
            </w:div>
          </w:divsChild>
        </w:div>
        <w:div w:id="401686394">
          <w:marLeft w:val="0"/>
          <w:marRight w:val="0"/>
          <w:marTop w:val="0"/>
          <w:marBottom w:val="0"/>
          <w:divBdr>
            <w:top w:val="none" w:sz="0" w:space="0" w:color="auto"/>
            <w:left w:val="none" w:sz="0" w:space="0" w:color="auto"/>
            <w:bottom w:val="none" w:sz="0" w:space="0" w:color="auto"/>
            <w:right w:val="none" w:sz="0" w:space="0" w:color="auto"/>
          </w:divBdr>
          <w:divsChild>
            <w:div w:id="799692570">
              <w:marLeft w:val="75"/>
              <w:marRight w:val="150"/>
              <w:marTop w:val="45"/>
              <w:marBottom w:val="75"/>
              <w:divBdr>
                <w:top w:val="none" w:sz="0" w:space="0" w:color="auto"/>
                <w:left w:val="none" w:sz="0" w:space="0" w:color="auto"/>
                <w:bottom w:val="none" w:sz="0" w:space="0" w:color="auto"/>
                <w:right w:val="none" w:sz="0" w:space="0" w:color="auto"/>
              </w:divBdr>
            </w:div>
            <w:div w:id="755591197">
              <w:marLeft w:val="300"/>
              <w:marRight w:val="150"/>
              <w:marTop w:val="75"/>
              <w:marBottom w:val="0"/>
              <w:divBdr>
                <w:top w:val="none" w:sz="0" w:space="0" w:color="auto"/>
                <w:left w:val="none" w:sz="0" w:space="0" w:color="auto"/>
                <w:bottom w:val="none" w:sz="0" w:space="0" w:color="auto"/>
                <w:right w:val="none" w:sz="0" w:space="0" w:color="auto"/>
              </w:divBdr>
            </w:div>
            <w:div w:id="879628640">
              <w:marLeft w:val="300"/>
              <w:marRight w:val="150"/>
              <w:marTop w:val="75"/>
              <w:marBottom w:val="0"/>
              <w:divBdr>
                <w:top w:val="none" w:sz="0" w:space="0" w:color="auto"/>
                <w:left w:val="none" w:sz="0" w:space="0" w:color="auto"/>
                <w:bottom w:val="none" w:sz="0" w:space="0" w:color="auto"/>
                <w:right w:val="none" w:sz="0" w:space="0" w:color="auto"/>
              </w:divBdr>
            </w:div>
          </w:divsChild>
        </w:div>
        <w:div w:id="923951708">
          <w:marLeft w:val="0"/>
          <w:marRight w:val="0"/>
          <w:marTop w:val="75"/>
          <w:marBottom w:val="150"/>
          <w:divBdr>
            <w:top w:val="none" w:sz="0" w:space="0" w:color="auto"/>
            <w:left w:val="none" w:sz="0" w:space="0" w:color="auto"/>
            <w:bottom w:val="none" w:sz="0" w:space="0" w:color="auto"/>
            <w:right w:val="none" w:sz="0" w:space="0" w:color="auto"/>
          </w:divBdr>
        </w:div>
      </w:divsChild>
    </w:div>
    <w:div w:id="656954423">
      <w:bodyDiv w:val="1"/>
      <w:marLeft w:val="0"/>
      <w:marRight w:val="0"/>
      <w:marTop w:val="0"/>
      <w:marBottom w:val="0"/>
      <w:divBdr>
        <w:top w:val="none" w:sz="0" w:space="0" w:color="auto"/>
        <w:left w:val="none" w:sz="0" w:space="0" w:color="auto"/>
        <w:bottom w:val="none" w:sz="0" w:space="0" w:color="auto"/>
        <w:right w:val="none" w:sz="0" w:space="0" w:color="auto"/>
      </w:divBdr>
      <w:divsChild>
        <w:div w:id="766079510">
          <w:marLeft w:val="0"/>
          <w:marRight w:val="0"/>
          <w:marTop w:val="150"/>
          <w:marBottom w:val="150"/>
          <w:divBdr>
            <w:top w:val="none" w:sz="0" w:space="0" w:color="auto"/>
            <w:left w:val="none" w:sz="0" w:space="0" w:color="auto"/>
            <w:bottom w:val="single" w:sz="6" w:space="0" w:color="CCCCCC"/>
            <w:right w:val="none" w:sz="0" w:space="0" w:color="auto"/>
          </w:divBdr>
          <w:divsChild>
            <w:div w:id="1678799588">
              <w:marLeft w:val="0"/>
              <w:marRight w:val="0"/>
              <w:marTop w:val="0"/>
              <w:marBottom w:val="0"/>
              <w:divBdr>
                <w:top w:val="none" w:sz="0" w:space="0" w:color="auto"/>
                <w:left w:val="none" w:sz="0" w:space="0" w:color="auto"/>
                <w:bottom w:val="none" w:sz="0" w:space="0" w:color="auto"/>
                <w:right w:val="none" w:sz="0" w:space="0" w:color="auto"/>
              </w:divBdr>
            </w:div>
          </w:divsChild>
        </w:div>
        <w:div w:id="1767384060">
          <w:marLeft w:val="0"/>
          <w:marRight w:val="0"/>
          <w:marTop w:val="0"/>
          <w:marBottom w:val="0"/>
          <w:divBdr>
            <w:top w:val="none" w:sz="0" w:space="0" w:color="auto"/>
            <w:left w:val="none" w:sz="0" w:space="0" w:color="auto"/>
            <w:bottom w:val="none" w:sz="0" w:space="0" w:color="auto"/>
            <w:right w:val="none" w:sz="0" w:space="0" w:color="auto"/>
          </w:divBdr>
          <w:divsChild>
            <w:div w:id="1559197946">
              <w:marLeft w:val="75"/>
              <w:marRight w:val="150"/>
              <w:marTop w:val="45"/>
              <w:marBottom w:val="75"/>
              <w:divBdr>
                <w:top w:val="none" w:sz="0" w:space="0" w:color="auto"/>
                <w:left w:val="none" w:sz="0" w:space="0" w:color="auto"/>
                <w:bottom w:val="none" w:sz="0" w:space="0" w:color="auto"/>
                <w:right w:val="none" w:sz="0" w:space="0" w:color="auto"/>
              </w:divBdr>
            </w:div>
            <w:div w:id="1068500519">
              <w:marLeft w:val="300"/>
              <w:marRight w:val="150"/>
              <w:marTop w:val="75"/>
              <w:marBottom w:val="0"/>
              <w:divBdr>
                <w:top w:val="none" w:sz="0" w:space="0" w:color="auto"/>
                <w:left w:val="none" w:sz="0" w:space="0" w:color="auto"/>
                <w:bottom w:val="none" w:sz="0" w:space="0" w:color="auto"/>
                <w:right w:val="none" w:sz="0" w:space="0" w:color="auto"/>
              </w:divBdr>
            </w:div>
            <w:div w:id="73163058">
              <w:marLeft w:val="300"/>
              <w:marRight w:val="150"/>
              <w:marTop w:val="75"/>
              <w:marBottom w:val="0"/>
              <w:divBdr>
                <w:top w:val="none" w:sz="0" w:space="0" w:color="auto"/>
                <w:left w:val="none" w:sz="0" w:space="0" w:color="auto"/>
                <w:bottom w:val="none" w:sz="0" w:space="0" w:color="auto"/>
                <w:right w:val="none" w:sz="0" w:space="0" w:color="auto"/>
              </w:divBdr>
            </w:div>
          </w:divsChild>
        </w:div>
        <w:div w:id="2091344230">
          <w:marLeft w:val="0"/>
          <w:marRight w:val="0"/>
          <w:marTop w:val="75"/>
          <w:marBottom w:val="150"/>
          <w:divBdr>
            <w:top w:val="none" w:sz="0" w:space="0" w:color="auto"/>
            <w:left w:val="none" w:sz="0" w:space="0" w:color="auto"/>
            <w:bottom w:val="none" w:sz="0" w:space="0" w:color="auto"/>
            <w:right w:val="none" w:sz="0" w:space="0" w:color="auto"/>
          </w:divBdr>
          <w:divsChild>
            <w:div w:id="1158616765">
              <w:marLeft w:val="0"/>
              <w:marRight w:val="0"/>
              <w:marTop w:val="45"/>
              <w:marBottom w:val="0"/>
              <w:divBdr>
                <w:top w:val="none" w:sz="0" w:space="0" w:color="auto"/>
                <w:left w:val="single" w:sz="48" w:space="0" w:color="FFFFFF"/>
                <w:bottom w:val="single" w:sz="48" w:space="0" w:color="FFFFFF"/>
                <w:right w:val="none" w:sz="0" w:space="0" w:color="auto"/>
              </w:divBdr>
              <w:divsChild>
                <w:div w:id="405567241">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2080590533">
      <w:bodyDiv w:val="1"/>
      <w:marLeft w:val="0"/>
      <w:marRight w:val="0"/>
      <w:marTop w:val="0"/>
      <w:marBottom w:val="0"/>
      <w:divBdr>
        <w:top w:val="none" w:sz="0" w:space="0" w:color="auto"/>
        <w:left w:val="none" w:sz="0" w:space="0" w:color="auto"/>
        <w:bottom w:val="none" w:sz="0" w:space="0" w:color="auto"/>
        <w:right w:val="none" w:sz="0" w:space="0" w:color="auto"/>
      </w:divBdr>
      <w:divsChild>
        <w:div w:id="1954357017">
          <w:marLeft w:val="0"/>
          <w:marRight w:val="0"/>
          <w:marTop w:val="150"/>
          <w:marBottom w:val="150"/>
          <w:divBdr>
            <w:top w:val="none" w:sz="0" w:space="0" w:color="auto"/>
            <w:left w:val="none" w:sz="0" w:space="0" w:color="auto"/>
            <w:bottom w:val="single" w:sz="6" w:space="0" w:color="CCCCCC"/>
            <w:right w:val="none" w:sz="0" w:space="0" w:color="auto"/>
          </w:divBdr>
          <w:divsChild>
            <w:div w:id="254093748">
              <w:marLeft w:val="0"/>
              <w:marRight w:val="0"/>
              <w:marTop w:val="0"/>
              <w:marBottom w:val="0"/>
              <w:divBdr>
                <w:top w:val="none" w:sz="0" w:space="0" w:color="auto"/>
                <w:left w:val="none" w:sz="0" w:space="0" w:color="auto"/>
                <w:bottom w:val="none" w:sz="0" w:space="0" w:color="auto"/>
                <w:right w:val="none" w:sz="0" w:space="0" w:color="auto"/>
              </w:divBdr>
            </w:div>
          </w:divsChild>
        </w:div>
        <w:div w:id="1773162049">
          <w:marLeft w:val="0"/>
          <w:marRight w:val="0"/>
          <w:marTop w:val="0"/>
          <w:marBottom w:val="0"/>
          <w:divBdr>
            <w:top w:val="none" w:sz="0" w:space="0" w:color="auto"/>
            <w:left w:val="none" w:sz="0" w:space="0" w:color="auto"/>
            <w:bottom w:val="none" w:sz="0" w:space="0" w:color="auto"/>
            <w:right w:val="none" w:sz="0" w:space="0" w:color="auto"/>
          </w:divBdr>
          <w:divsChild>
            <w:div w:id="586309376">
              <w:marLeft w:val="75"/>
              <w:marRight w:val="150"/>
              <w:marTop w:val="45"/>
              <w:marBottom w:val="75"/>
              <w:divBdr>
                <w:top w:val="none" w:sz="0" w:space="0" w:color="auto"/>
                <w:left w:val="none" w:sz="0" w:space="0" w:color="auto"/>
                <w:bottom w:val="none" w:sz="0" w:space="0" w:color="auto"/>
                <w:right w:val="none" w:sz="0" w:space="0" w:color="auto"/>
              </w:divBdr>
            </w:div>
            <w:div w:id="420878002">
              <w:marLeft w:val="300"/>
              <w:marRight w:val="150"/>
              <w:marTop w:val="75"/>
              <w:marBottom w:val="0"/>
              <w:divBdr>
                <w:top w:val="none" w:sz="0" w:space="0" w:color="auto"/>
                <w:left w:val="none" w:sz="0" w:space="0" w:color="auto"/>
                <w:bottom w:val="none" w:sz="0" w:space="0" w:color="auto"/>
                <w:right w:val="none" w:sz="0" w:space="0" w:color="auto"/>
              </w:divBdr>
            </w:div>
            <w:div w:id="1268544643">
              <w:marLeft w:val="300"/>
              <w:marRight w:val="150"/>
              <w:marTop w:val="75"/>
              <w:marBottom w:val="0"/>
              <w:divBdr>
                <w:top w:val="none" w:sz="0" w:space="0" w:color="auto"/>
                <w:left w:val="none" w:sz="0" w:space="0" w:color="auto"/>
                <w:bottom w:val="none" w:sz="0" w:space="0" w:color="auto"/>
                <w:right w:val="none" w:sz="0" w:space="0" w:color="auto"/>
              </w:divBdr>
            </w:div>
          </w:divsChild>
        </w:div>
        <w:div w:id="1401908185">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leggi-normative/documenti/decreti-ministeriali/decreto-ministeriale-222-del-11-agosto-2022-destinazione-risorse-attuazione-progetti-in-essere-del-pnrr-linee-di-investimento-2-1.flc" TargetMode="External"/><Relationship Id="rId13" Type="http://schemas.openxmlformats.org/officeDocument/2006/relationships/hyperlink" Target="https://www.flcgil.it/attualita/piano-nazionale-ripresa-resilienza/decreto-caivano-pubblicato-in-gazzetta-ufficiale-gli-interventi-su-agenda-sud-e-pnrr.flc" TargetMode="External"/><Relationship Id="rId3" Type="http://schemas.openxmlformats.org/officeDocument/2006/relationships/settings" Target="settings.xml"/><Relationship Id="rId7" Type="http://schemas.openxmlformats.org/officeDocument/2006/relationships/hyperlink" Target="https://www.flcgil.it/leggi-normative/documenti/decreti-ministeriali/decreto-ministeriale-66-del-12-aprile-2023-riparto-risorse-formazione-digitale.flc" TargetMode="External"/><Relationship Id="rId12" Type="http://schemas.openxmlformats.org/officeDocument/2006/relationships/hyperlink" Target="https://www.flcgil.it/leggi-normative/documenti/decreti-legge/decreto-legge-123-del-15-settembre-2023-misure-urgenti-contrasto-disagio-giovanile-poverta-educativa-e-criminalita-minorile-e-sicurezza-minori-in-ambito-digitale.f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cgil.it/leggi-normative/documenti/decreti-ministeriali/decreto-ministeriale-65-del-12-aprile-2023-riparto-risorse-nuove-competenze.flc" TargetMode="External"/><Relationship Id="rId11" Type="http://schemas.openxmlformats.org/officeDocument/2006/relationships/hyperlink" Target="https://www.flcgil.it/scuola/fondo-per-il-miglioramento-dell-offerta-formativa-il-mim-dispone-l-assegnazione-delle-economie-sui-pos-delle-scuole.flc" TargetMode="External"/><Relationship Id="rId5" Type="http://schemas.openxmlformats.org/officeDocument/2006/relationships/hyperlink" Target="https://www.flcgil.it/attualita/piano-nazionale-ripresa-resilienza/emergenza-coronavirus-covid-19-pnrr-notizie-provvedimenti.flc" TargetMode="External"/><Relationship Id="rId15" Type="http://schemas.openxmlformats.org/officeDocument/2006/relationships/theme" Target="theme/theme1.xml"/><Relationship Id="rId10" Type="http://schemas.openxmlformats.org/officeDocument/2006/relationships/hyperlink" Target="https://www.flcgil.it/scuola/finanziamenti-alle-scuole-definita-l-ipotesi-di-ccni-relativo-al-fmof-2023-2024.flc" TargetMode="External"/><Relationship Id="rId4" Type="http://schemas.openxmlformats.org/officeDocument/2006/relationships/webSettings" Target="webSettings.xml"/><Relationship Id="rId9" Type="http://schemas.openxmlformats.org/officeDocument/2006/relationships/hyperlink" Target="https://www.flcgil.it/leggi-normative/documenti/note-ministeriali/nota-25954-del-29-settembre-2023-comunicazione-alle-scuole-assegnazione-risorse-finanziarie-programma-annuale-2024.flc"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2613</Words>
  <Characters>14897</Characters>
  <Application>Microsoft Office Word</Application>
  <DocSecurity>0</DocSecurity>
  <Lines>124</Lines>
  <Paragraphs>34</Paragraphs>
  <ScaleCrop>false</ScaleCrop>
  <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1</cp:revision>
  <dcterms:created xsi:type="dcterms:W3CDTF">2023-10-04T06:53:00Z</dcterms:created>
  <dcterms:modified xsi:type="dcterms:W3CDTF">2023-10-04T07:01:00Z</dcterms:modified>
</cp:coreProperties>
</file>